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AB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灵宝市农业农村局2025年法治政府建设</w:t>
      </w:r>
    </w:p>
    <w:p w14:paraId="563E8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工作报告</w:t>
      </w:r>
    </w:p>
    <w:p w14:paraId="20F28DB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365EA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2025年，农业农村局深入贯彻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落实</w:t>
      </w:r>
      <w:r>
        <w:rPr>
          <w:rFonts w:hint="eastAsia" w:ascii="仿宋" w:hAnsi="仿宋" w:eastAsia="仿宋" w:cs="仿宋"/>
          <w:sz w:val="32"/>
          <w:szCs w:val="32"/>
        </w:rPr>
        <w:t>《法治政府建设实施纲要（2021 - 2025年）》精神，紧紧围绕服务保障“三农”工作中心，全面推进法治政府建设，取得了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明显</w:t>
      </w:r>
      <w:r>
        <w:rPr>
          <w:rFonts w:hint="eastAsia" w:ascii="仿宋" w:hAnsi="仿宋" w:eastAsia="仿宋" w:cs="仿宋"/>
          <w:sz w:val="32"/>
          <w:szCs w:val="32"/>
        </w:rPr>
        <w:t>成效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83BFD80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一、主要工作开展情况</w:t>
      </w:r>
    </w:p>
    <w:p w14:paraId="3F2CA08D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健全政府机构职能体系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完善权责清单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全面梳理农业农村领域权责事项，明确权力边界和责任范围，完成了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211项</w:t>
      </w:r>
      <w:r>
        <w:rPr>
          <w:rFonts w:hint="eastAsia" w:ascii="仿宋" w:hAnsi="仿宋" w:eastAsia="仿宋" w:cs="仿宋"/>
          <w:sz w:val="32"/>
          <w:szCs w:val="32"/>
        </w:rPr>
        <w:t>权责清单动态调整，确保权责一致，为高效履职提供了清晰指引。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深化“放管服”改革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扎实推进政务服务事项“四级五十同”，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1项事项全部进驻市政务服务中心。全面推行“一窗综合受理、后台分类审批、统一窗口出件”模式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截至目前共</w:t>
      </w:r>
      <w:r>
        <w:rPr>
          <w:rFonts w:hint="eastAsia" w:ascii="仿宋" w:hAnsi="仿宋" w:eastAsia="仿宋" w:cs="仿宋"/>
          <w:sz w:val="32"/>
          <w:szCs w:val="32"/>
        </w:rPr>
        <w:t>办理行政许可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</w:t>
      </w:r>
      <w:r>
        <w:rPr>
          <w:rFonts w:hint="eastAsia" w:ascii="仿宋" w:hAnsi="仿宋" w:eastAsia="仿宋" w:cs="仿宋"/>
          <w:sz w:val="32"/>
          <w:szCs w:val="32"/>
        </w:rPr>
        <w:t>，群众满意度100%。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优化法治营商环境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健全“双随机、一公开”监管制度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通过建立检查事项清单、检查对象库、执法人员库，优化行政检查，杜绝随意检查、重复检查、多头检查，法治营商环境明显优化。</w:t>
      </w:r>
    </w:p>
    <w:p w14:paraId="355082E4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健全依法行政制度体系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严格落实规范性文件制定程序，加强合法性审核，确保文件内容合法合规、合理可行。对现行规范性文件进行定期清理，及时废止或修订不符合法律法规和政策要求的文件，维护了制度体系的严肃性和时效性。完善重大行政决策程序，建立健全公众参与、专家论证、风险评估、合法性审查和集体讨论决定相结合的决策机制。</w:t>
      </w:r>
    </w:p>
    <w:p w14:paraId="31D63C89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健全行政执法体系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提升执法规范化水平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严格执行行政执法“三项制度”，全面推行行政执法公示制度、执法全过程记录制度、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重大执法决定法制审核制度</w:t>
      </w:r>
      <w:r>
        <w:rPr>
          <w:rFonts w:hint="eastAsia" w:ascii="仿宋" w:hAnsi="仿宋" w:eastAsia="仿宋" w:cs="仿宋"/>
          <w:sz w:val="32"/>
          <w:szCs w:val="32"/>
        </w:rPr>
        <w:t>，确保执法行为公开透明、过程可追溯、决定合法公正。严格落实《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河南省</w:t>
      </w:r>
      <w:r>
        <w:rPr>
          <w:rFonts w:hint="eastAsia" w:ascii="仿宋" w:hAnsi="仿宋" w:eastAsia="仿宋" w:cs="仿宋"/>
          <w:sz w:val="32"/>
          <w:szCs w:val="32"/>
        </w:rPr>
        <w:t>农业行政处罚裁量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标准</w:t>
      </w:r>
      <w:r>
        <w:rPr>
          <w:rFonts w:hint="eastAsia" w:ascii="仿宋" w:hAnsi="仿宋" w:eastAsia="仿宋" w:cs="仿宋"/>
          <w:sz w:val="32"/>
          <w:szCs w:val="32"/>
        </w:rPr>
        <w:t>》《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河南省农业行政处罚自由裁量权基准制度</w:t>
      </w:r>
      <w:r>
        <w:rPr>
          <w:rFonts w:hint="eastAsia" w:ascii="仿宋" w:hAnsi="仿宋" w:eastAsia="仿宋" w:cs="仿宋"/>
          <w:sz w:val="32"/>
          <w:szCs w:val="32"/>
        </w:rPr>
        <w:t>》，规范案件办理和裁量权运用，坚持处罚与教育相结合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。今年以来共办理行政处罚案件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13件，未发生行政复议与行政诉讼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案件。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二是加强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执法队伍建设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51名</w:t>
      </w:r>
      <w:r>
        <w:rPr>
          <w:rFonts w:hint="eastAsia" w:ascii="仿宋" w:hAnsi="仿宋" w:eastAsia="仿宋" w:cs="仿宋"/>
          <w:sz w:val="32"/>
          <w:szCs w:val="32"/>
        </w:rPr>
        <w:t>执法人员参加各类培训和学习交流活动，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执法人员公共法律知识、专业法律知识培训考试，参培率、考试合格率均达100%。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提升农业行政执法质效。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“执法检查+合规指引”服务，引导群众合法生产经营；开展农业安全生产服务，指导农业主体及时发现安全生产违法风险隐患并及时整改；开展矛盾纠纷调解服务，重点加强农业投入品质量引发的矛盾纠纷调解；开展农业投入品“你点我检”服务，积极回应农业投入品经营、使用主体对农资产品的检测需求；开展企业信用修复服务，落实行政处罚决定书、信用修复告知书“两书同达”，指导企业完成信用修复工作，实现“应宣尽宣”“应修尽修”。</w:t>
      </w:r>
    </w:p>
    <w:p w14:paraId="0B0531E7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（四）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健全行政权力制约监督体系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建立健全执法监督机制，开展行政执法检查和案卷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自查</w:t>
      </w:r>
      <w:r>
        <w:rPr>
          <w:rFonts w:hint="eastAsia" w:ascii="仿宋" w:hAnsi="仿宋" w:eastAsia="仿宋" w:cs="仿宋"/>
          <w:sz w:val="32"/>
          <w:szCs w:val="32"/>
        </w:rPr>
        <w:t>评查活动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加强对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内部权力运行的监督制约。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同时</w:t>
      </w:r>
      <w:r>
        <w:rPr>
          <w:rFonts w:hint="eastAsia" w:ascii="仿宋" w:hAnsi="仿宋" w:eastAsia="仿宋" w:cs="仿宋"/>
          <w:sz w:val="32"/>
          <w:szCs w:val="32"/>
        </w:rPr>
        <w:t>主动接受人大监督、政协民主监督、司法监督和社会舆论监督，积极配合做好相关工作。对人大代表建议和政协委员提案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24件</w:t>
      </w:r>
      <w:r>
        <w:rPr>
          <w:rFonts w:hint="eastAsia" w:ascii="仿宋" w:hAnsi="仿宋" w:eastAsia="仿宋" w:cs="仿宋"/>
          <w:sz w:val="32"/>
          <w:szCs w:val="32"/>
        </w:rPr>
        <w:t>，认真办理并及时回复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通过政府门户网站等渠道，主动公开政务信息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9条</w:t>
      </w:r>
      <w:r>
        <w:rPr>
          <w:rFonts w:hint="eastAsia" w:ascii="仿宋" w:hAnsi="仿宋" w:eastAsia="仿宋" w:cs="仿宋"/>
          <w:sz w:val="32"/>
          <w:szCs w:val="32"/>
        </w:rPr>
        <w:t>，接受社会监督。</w:t>
      </w:r>
    </w:p>
    <w:p w14:paraId="05448E67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（五）健全法治宣传教育体系。</w:t>
      </w:r>
      <w:r>
        <w:rPr>
          <w:rFonts w:hint="eastAsia" w:ascii="仿宋" w:hAnsi="仿宋" w:eastAsia="仿宋" w:cs="仿宋"/>
          <w:sz w:val="32"/>
          <w:szCs w:val="32"/>
        </w:rPr>
        <w:t>制定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年度</w:t>
      </w:r>
      <w:r>
        <w:rPr>
          <w:rFonts w:hint="eastAsia" w:ascii="仿宋" w:hAnsi="仿宋" w:eastAsia="仿宋" w:cs="仿宋"/>
          <w:sz w:val="32"/>
          <w:szCs w:val="32"/>
        </w:rPr>
        <w:t>普法责任清单和普法计划，明确普法任务和责任分工。围绕宪法、民法典、乡村振兴促进法等法律法规，结合“中国农民丰收节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2"/>
          <w:kern w:val="0"/>
          <w:sz w:val="32"/>
          <w:szCs w:val="32"/>
          <w:shd w:val="clear" w:fill="FFFFFF"/>
          <w:lang w:val="en-US" w:eastAsia="zh-CN" w:bidi="ar"/>
        </w:rPr>
        <w:t>・河南“赛会节”活动</w:t>
      </w:r>
      <w:r>
        <w:rPr>
          <w:rFonts w:hint="eastAsia" w:ascii="仿宋" w:hAnsi="仿宋" w:eastAsia="仿宋" w:cs="仿宋"/>
          <w:sz w:val="32"/>
          <w:szCs w:val="32"/>
        </w:rPr>
        <w:t>”等重要节点，开展形式多样的普法宣传活动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次，</w:t>
      </w:r>
      <w:r>
        <w:rPr>
          <w:rFonts w:hint="eastAsia" w:ascii="仿宋" w:hAnsi="仿宋" w:eastAsia="仿宋" w:cs="仿宋"/>
          <w:sz w:val="32"/>
          <w:szCs w:val="32"/>
        </w:rPr>
        <w:t>持续推进农村学法用法示范户培育，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累计培育</w:t>
      </w:r>
      <w:r>
        <w:rPr>
          <w:rFonts w:hint="eastAsia" w:ascii="仿宋" w:hAnsi="仿宋" w:eastAsia="仿宋" w:cs="仿宋"/>
          <w:sz w:val="32"/>
          <w:szCs w:val="32"/>
        </w:rPr>
        <w:t>示范户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700余户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7340A2A">
      <w:pP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23" w:right="1746" w:bottom="1723" w:left="17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B923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677267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677267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A60A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15C7A"/>
    <w:rsid w:val="112E0021"/>
    <w:rsid w:val="28026624"/>
    <w:rsid w:val="285822F5"/>
    <w:rsid w:val="28E31299"/>
    <w:rsid w:val="36CE0F9D"/>
    <w:rsid w:val="37774440"/>
    <w:rsid w:val="433B01F8"/>
    <w:rsid w:val="44102BF4"/>
    <w:rsid w:val="649B244D"/>
    <w:rsid w:val="678809D3"/>
    <w:rsid w:val="759D756D"/>
    <w:rsid w:val="7FB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1591</Words>
  <Characters>1626</Characters>
  <Lines>0</Lines>
  <Paragraphs>0</Paragraphs>
  <TotalTime>4</TotalTime>
  <ScaleCrop>false</ScaleCrop>
  <LinksUpToDate>false</LinksUpToDate>
  <CharactersWithSpaces>1629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2025-10-13T07:13:00Z</dcterms:created>
  <dc:creator>Administrator</dc:creator>
  <cp:lastModifiedBy></cp:lastModifiedBy>
  <cp:lastPrinted>2025-10-14T03:44:00Z</cp:lastPrinted>
  <dcterms:modified xsi:type="dcterms:W3CDTF">2026-03-27T00:41:33Z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eyJoZGlkIjoiY2E0Nzk2OTU0YzU3MGY5YWNmMzlmZmRmNzhlZGJhYmUiLCJ1c2VySWQiOiI2NjEzNzkyMjgifQ==</vt:lpwstr>
  </property>
  <property fmtid="{D5CDD505-2E9C-101B-9397-08002B2CF9AE}" pid="4" name="ICV">
    <vt:lpwstr>765360353F8B4C44AE2FFF6DAD32E844_12</vt:lpwstr>
  </property>
</Properties>
</file>