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4D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灵宝市文广旅局2025年</w:t>
      </w:r>
      <w:r>
        <w:rPr>
          <w:rFonts w:hint="eastAsia" w:ascii="方正小标宋简体" w:hAnsi="方正小标宋简体" w:eastAsia="方正小标宋简体" w:cs="方正小标宋简体"/>
          <w:color w:val="auto"/>
          <w:sz w:val="44"/>
          <w:szCs w:val="44"/>
          <w:lang w:eastAsia="zh-CN"/>
        </w:rPr>
        <w:t>法治政府建设</w:t>
      </w:r>
    </w:p>
    <w:p w14:paraId="5A7D33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工作报告</w:t>
      </w:r>
    </w:p>
    <w:p w14:paraId="223A5E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eastAsia="zh-CN"/>
        </w:rPr>
      </w:pPr>
    </w:p>
    <w:p w14:paraId="472BE8B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color w:val="auto"/>
          <w:kern w:val="0"/>
          <w:sz w:val="32"/>
          <w:szCs w:val="32"/>
          <w:lang w:val="en-US" w:eastAsia="zh-CN" w:bidi="ar"/>
        </w:rPr>
        <w:t>2025年，灵宝市文化广电和旅游局坚持以习近平新时代中国特色社会主义思想为指导，深入学习贯彻习近平法治思想，全面落实中央、省、市关于法治政府建设的决策部署，扎实推进依法行政，将法治思维和法治方式贯穿文旅工作全过程，为全市文化和旅游高质量发展提供了坚实法治保障。现将本年度法治政府建设工作情况报告如下：</w:t>
      </w:r>
    </w:p>
    <w:p w14:paraId="5CCAD1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一、工作成效</w:t>
      </w:r>
    </w:p>
    <w:p w14:paraId="315E22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i w:val="0"/>
          <w:iCs w:val="0"/>
          <w:caps w:val="0"/>
          <w:color w:val="auto"/>
          <w:spacing w:val="0"/>
          <w:sz w:val="32"/>
          <w:szCs w:val="32"/>
          <w:shd w:val="clear" w:fill="FFFFFF"/>
        </w:rPr>
        <w:t>（一）依法决策，行政效率和公信力得到新提升。</w:t>
      </w:r>
    </w:p>
    <w:p w14:paraId="261FC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default" w:ascii="仿宋_GB2312" w:hAnsi="仿宋_GB2312" w:eastAsia="仿宋_GB2312" w:cs="仿宋_GB2312"/>
          <w:i w:val="0"/>
          <w:iCs w:val="0"/>
          <w:caps w:val="0"/>
          <w:color w:val="auto"/>
          <w:spacing w:val="0"/>
          <w:sz w:val="32"/>
          <w:szCs w:val="32"/>
          <w:shd w:val="clear" w:fill="FFFFFF"/>
        </w:rPr>
        <w:t>发挥局党组的核心领导作用，严格落实民主集中制，以局党组会议的形式集体研究、集体讨论、集体决策，坚决执行“三重一大”事项议事决策规则，落实集体决策的合法性、民主性、科学性，不断提升领导班子法治意识和依法行政能力。</w:t>
      </w:r>
      <w:r>
        <w:rPr>
          <w:rFonts w:hint="eastAsia" w:ascii="仿宋_GB2312" w:hAnsi="仿宋_GB2312" w:eastAsia="仿宋_GB2312" w:cs="仿宋_GB2312"/>
          <w:b/>
          <w:bCs/>
          <w:i w:val="0"/>
          <w:iCs w:val="0"/>
          <w:caps w:val="0"/>
          <w:color w:val="auto"/>
          <w:spacing w:val="0"/>
          <w:sz w:val="32"/>
          <w:szCs w:val="32"/>
          <w:shd w:val="clear" w:fill="FFFFFF"/>
          <w:lang w:eastAsia="zh-CN"/>
        </w:rPr>
        <w:t>二</w:t>
      </w:r>
      <w:r>
        <w:rPr>
          <w:rFonts w:hint="eastAsia" w:ascii="仿宋_GB2312" w:hAnsi="仿宋_GB2312" w:eastAsia="仿宋_GB2312" w:cs="仿宋_GB2312"/>
          <w:b/>
          <w:bCs/>
          <w:color w:val="auto"/>
          <w:kern w:val="2"/>
          <w:sz w:val="32"/>
          <w:szCs w:val="32"/>
          <w:lang w:val="en-US" w:eastAsia="zh-CN" w:bidi="ar-SA"/>
        </w:rPr>
        <w:t>是</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涉企行政执法</w:t>
      </w:r>
      <w:r>
        <w:rPr>
          <w:rFonts w:hint="eastAsia" w:ascii="仿宋_GB2312" w:hAnsi="仿宋_GB2312" w:eastAsia="仿宋_GB2312" w:cs="仿宋_GB2312"/>
          <w:color w:val="auto"/>
          <w:kern w:val="2"/>
          <w:sz w:val="32"/>
          <w:szCs w:val="32"/>
          <w:lang w:val="en-US" w:eastAsia="zh-CN" w:bidi="ar-SA"/>
        </w:rPr>
        <w:t>突出问题自查自纠，</w:t>
      </w:r>
      <w:r>
        <w:rPr>
          <w:rFonts w:hint="default" w:ascii="仿宋_GB2312" w:hAnsi="仿宋_GB2312" w:eastAsia="仿宋_GB2312" w:cs="仿宋_GB2312"/>
          <w:color w:val="auto"/>
          <w:kern w:val="2"/>
          <w:sz w:val="32"/>
          <w:szCs w:val="32"/>
          <w:lang w:val="en-US" w:eastAsia="zh-CN" w:bidi="ar-SA"/>
        </w:rPr>
        <w:t>认真落实规范性文件报备、行政执法信息公示公开、行政执法全过程记录等工作。</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i w:val="0"/>
          <w:iCs w:val="0"/>
          <w:caps w:val="0"/>
          <w:color w:val="auto"/>
          <w:spacing w:val="0"/>
          <w:sz w:val="32"/>
          <w:szCs w:val="32"/>
          <w:shd w:val="clear" w:fill="FFFFFF"/>
        </w:rPr>
        <w:t>充分发挥法律顾问作用</w:t>
      </w:r>
      <w:r>
        <w:rPr>
          <w:rFonts w:hint="default" w:ascii="仿宋_GB2312" w:hAnsi="仿宋_GB2312" w:eastAsia="仿宋_GB2312" w:cs="仿宋_GB2312"/>
          <w:color w:val="auto"/>
          <w:kern w:val="2"/>
          <w:sz w:val="32"/>
          <w:szCs w:val="32"/>
          <w:lang w:val="en-US" w:eastAsia="zh-CN" w:bidi="ar-SA"/>
        </w:rPr>
        <w:t>，指导我局依法行政、依法治市等涉法工作</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0"/>
          <w:sz w:val="32"/>
          <w:szCs w:val="32"/>
          <w:lang w:val="en-US" w:eastAsia="zh-CN" w:bidi="ar"/>
        </w:rPr>
        <w:t>实现重大决策法律顾问提前介入、全程参与决策论证，提出法律意见。</w:t>
      </w:r>
      <w:r>
        <w:rPr>
          <w:rFonts w:hint="eastAsia" w:ascii="仿宋_GB2312" w:hAnsi="仿宋_GB2312" w:eastAsia="仿宋_GB2312" w:cs="仿宋_GB2312"/>
          <w:b/>
          <w:bCs/>
          <w:i w:val="0"/>
          <w:iCs w:val="0"/>
          <w:caps w:val="0"/>
          <w:color w:val="auto"/>
          <w:spacing w:val="0"/>
          <w:sz w:val="32"/>
          <w:szCs w:val="32"/>
          <w:shd w:val="clear" w:fill="FFFFFF"/>
          <w:lang w:eastAsia="zh-CN"/>
        </w:rPr>
        <w:t>四</w:t>
      </w:r>
      <w:r>
        <w:rPr>
          <w:rFonts w:hint="eastAsia" w:ascii="仿宋_GB2312" w:hAnsi="仿宋_GB2312" w:eastAsia="仿宋_GB2312" w:cs="仿宋_GB2312"/>
          <w:b/>
          <w:bCs/>
          <w:i w:val="0"/>
          <w:iCs w:val="0"/>
          <w:caps w:val="0"/>
          <w:color w:val="auto"/>
          <w:spacing w:val="0"/>
          <w:sz w:val="32"/>
          <w:szCs w:val="32"/>
          <w:shd w:val="clear" w:fill="FFFFFF"/>
        </w:rPr>
        <w:t>是</w:t>
      </w:r>
      <w:r>
        <w:rPr>
          <w:rFonts w:hint="eastAsia" w:ascii="仿宋_GB2312" w:hAnsi="仿宋_GB2312" w:eastAsia="仿宋_GB2312" w:cs="仿宋_GB2312"/>
          <w:i w:val="0"/>
          <w:iCs w:val="0"/>
          <w:caps w:val="0"/>
          <w:color w:val="auto"/>
          <w:spacing w:val="0"/>
          <w:sz w:val="32"/>
          <w:szCs w:val="32"/>
          <w:shd w:val="clear" w:fill="FFFFFF"/>
        </w:rPr>
        <w:t>加大政务公开力度。</w:t>
      </w:r>
      <w:r>
        <w:rPr>
          <w:rFonts w:hint="default" w:ascii="仿宋_GB2312" w:hAnsi="仿宋_GB2312" w:eastAsia="仿宋_GB2312" w:cs="仿宋_GB2312"/>
          <w:i w:val="0"/>
          <w:iCs w:val="0"/>
          <w:caps w:val="0"/>
          <w:color w:val="auto"/>
          <w:spacing w:val="0"/>
          <w:sz w:val="32"/>
          <w:szCs w:val="32"/>
          <w:shd w:val="clear" w:fill="FFFFFF"/>
          <w:lang w:val="en-US" w:eastAsia="zh-CN"/>
        </w:rPr>
        <w:t>充分利用政府单位门户网站，及时、准确、全面公开群众普遍关心</w:t>
      </w:r>
      <w:r>
        <w:rPr>
          <w:rFonts w:hint="default" w:ascii="仿宋_GB2312" w:hAnsi="仿宋_GB2312" w:eastAsia="仿宋_GB2312" w:cs="仿宋_GB2312"/>
          <w:color w:val="auto"/>
          <w:kern w:val="2"/>
          <w:sz w:val="32"/>
          <w:szCs w:val="32"/>
          <w:lang w:val="en-US" w:eastAsia="zh-CN" w:bidi="ar-SA"/>
        </w:rPr>
        <w:t>、涉及群众切身利益的政府信息。</w:t>
      </w:r>
      <w:r>
        <w:rPr>
          <w:rFonts w:hint="default" w:ascii="Times New Roman" w:hAnsi="Times New Roman" w:eastAsia="仿宋_GB2312" w:cs="Times New Roman"/>
          <w:color w:val="auto"/>
          <w:sz w:val="32"/>
          <w:szCs w:val="32"/>
          <w:lang w:val="en-US" w:eastAsia="zh-CN"/>
        </w:rPr>
        <w:t>围绕文化活动、旅游信息、行政许可、行政处罚等重点领域加大政府信息公开力度，强化政府网站和政务新媒体建设管理，严格落实意识形态和网络安全工作责任制。</w:t>
      </w:r>
    </w:p>
    <w:p w14:paraId="67D3F15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依法行政，文化和旅游营商环境持续优化。</w:t>
      </w:r>
    </w:p>
    <w:p w14:paraId="4F8C4E9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优化审批服务，提高审批效能。不断优化政务服务事项，推进政务事项标准化，动态调整灵宝市政务服务事项基本目录，截至目前，我局河南政务服务网已更新到148个事项，市政务服务领域减免材料15项，容缺受理41项。今年以来共受理审批项目咨询218次，办理审批事项11件。办件未出现任何办件差错，即时办结率、按时办结率、提前办结率、群众满意率100%，进一步提升了审批服务效率，创造良好办事环境和营商环境。</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强化信用体系建设。及时向社会发布文旅企业诚信经营情况，建立文旅市场“黑红榜”制度，推选出三门峡市旅游行业诚信建设“诚信经营单位”4家。加强评价结果运用，实施分级分类监管，激发市场活力，引导群众消费。</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优化企业发展环境。推出预先踏勘上门服务。工作人员在企业筹备或装修阶段即深入现场提前介入，告知所需材料、审批流程和注意事项，以专业指导助力企业规避合规风险，实现审批流程“轻装上阵”，获得企业群众广泛认可。全力推进重点项目建设中的文物勘探、文物发掘工作，提升主动服务水平，确保了文物保护</w:t>
      </w:r>
      <w:r>
        <w:rPr>
          <w:rFonts w:hint="eastAsia" w:ascii="仿宋_GB2312" w:hAnsi="仿宋_GB2312" w:eastAsia="仿宋_GB2312" w:cs="仿宋_GB2312"/>
          <w:i w:val="0"/>
          <w:iCs w:val="0"/>
          <w:caps w:val="0"/>
          <w:color w:val="auto"/>
          <w:spacing w:val="0"/>
          <w:sz w:val="32"/>
          <w:szCs w:val="32"/>
          <w:shd w:val="clear" w:fill="FFFFFF"/>
        </w:rPr>
        <w:t>工作和项目建设稳步推进。</w:t>
      </w:r>
    </w:p>
    <w:p w14:paraId="7E0BE6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i w:val="0"/>
          <w:iCs w:val="0"/>
          <w:caps w:val="0"/>
          <w:color w:val="auto"/>
          <w:spacing w:val="0"/>
          <w:sz w:val="32"/>
          <w:szCs w:val="32"/>
          <w:shd w:val="clear" w:fill="FFFFFF"/>
        </w:rPr>
        <w:t>（三）规范执法，文旅市场</w:t>
      </w:r>
      <w:r>
        <w:rPr>
          <w:rFonts w:hint="eastAsia" w:ascii="楷体_GB2312" w:hAnsi="楷体_GB2312" w:eastAsia="楷体_GB2312" w:cs="楷体_GB2312"/>
          <w:b/>
          <w:bCs/>
          <w:i w:val="0"/>
          <w:iCs w:val="0"/>
          <w:caps w:val="0"/>
          <w:color w:val="auto"/>
          <w:spacing w:val="0"/>
          <w:sz w:val="32"/>
          <w:szCs w:val="32"/>
          <w:shd w:val="clear" w:fill="FFFFFF"/>
          <w:lang w:eastAsia="zh-CN"/>
        </w:rPr>
        <w:t>监管效能</w:t>
      </w:r>
      <w:r>
        <w:rPr>
          <w:rFonts w:hint="eastAsia" w:ascii="楷体_GB2312" w:hAnsi="楷体_GB2312" w:eastAsia="楷体_GB2312" w:cs="楷体_GB2312"/>
          <w:b/>
          <w:bCs/>
          <w:i w:val="0"/>
          <w:iCs w:val="0"/>
          <w:caps w:val="0"/>
          <w:color w:val="auto"/>
          <w:spacing w:val="0"/>
          <w:sz w:val="32"/>
          <w:szCs w:val="32"/>
          <w:shd w:val="clear" w:fill="FFFFFF"/>
        </w:rPr>
        <w:t>得到新</w:t>
      </w:r>
      <w:r>
        <w:rPr>
          <w:rFonts w:hint="eastAsia" w:ascii="楷体_GB2312" w:hAnsi="楷体_GB2312" w:eastAsia="楷体_GB2312" w:cs="楷体_GB2312"/>
          <w:b/>
          <w:bCs/>
          <w:i w:val="0"/>
          <w:iCs w:val="0"/>
          <w:caps w:val="0"/>
          <w:color w:val="auto"/>
          <w:spacing w:val="0"/>
          <w:sz w:val="32"/>
          <w:szCs w:val="32"/>
          <w:shd w:val="clear" w:fill="FFFFFF"/>
          <w:lang w:eastAsia="zh-CN"/>
        </w:rPr>
        <w:t>提升</w:t>
      </w:r>
      <w:r>
        <w:rPr>
          <w:rFonts w:hint="eastAsia" w:ascii="楷体_GB2312" w:hAnsi="楷体_GB2312" w:eastAsia="楷体_GB2312" w:cs="楷体_GB2312"/>
          <w:b/>
          <w:bCs/>
          <w:i w:val="0"/>
          <w:iCs w:val="0"/>
          <w:caps w:val="0"/>
          <w:color w:val="auto"/>
          <w:spacing w:val="0"/>
          <w:sz w:val="32"/>
          <w:szCs w:val="32"/>
          <w:shd w:val="clear" w:fill="FFFFFF"/>
        </w:rPr>
        <w:t>。</w:t>
      </w:r>
    </w:p>
    <w:p w14:paraId="008C15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bCs w:val="0"/>
          <w:color w:val="auto"/>
          <w:kern w:val="2"/>
          <w:sz w:val="32"/>
          <w:szCs w:val="32"/>
          <w:lang w:val="en-US" w:eastAsia="zh-CN" w:bidi="ar-SA"/>
        </w:rPr>
        <w:t>全面推行对文旅行业经营主体的“双随机、一公开”抽查，加强与市场监管、交通、公安、教育等部门的沟通协作，将各经营企业纳入“双随机、一公开”监管平台，及时将检查结果录入系统，接受社会监督。</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创新执法方式，以信息化促进执法的现代化，借助全国旅游监管服务平台、全国文化市场技术监管与服务平台等信息化运用管理平台，覆盖于业务管理的方方面面，贯穿各项工作的全过程。</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bCs w:val="0"/>
          <w:color w:val="auto"/>
          <w:kern w:val="2"/>
          <w:sz w:val="32"/>
          <w:szCs w:val="32"/>
          <w:lang w:val="en-US" w:eastAsia="zh-CN" w:bidi="ar-SA"/>
        </w:rPr>
        <w:t>梳理执法事项。全面梳理乡镇文广旅领域执法职责，配合完成乡镇履职事项编制工作，签订职责交接书。与编办沟通调整确认我局权责清单。</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b w:val="0"/>
          <w:bCs w:val="0"/>
          <w:color w:val="auto"/>
          <w:kern w:val="2"/>
          <w:sz w:val="32"/>
          <w:szCs w:val="32"/>
          <w:lang w:val="en-US" w:eastAsia="zh-CN" w:bidi="ar-SA"/>
        </w:rPr>
        <w:t xml:space="preserve">加强执法检查力度，今年以来共计开展文旅市场执法检查400余次，累计检查经营场所1000余家次，依法办结违法案件4起。    </w:t>
      </w:r>
    </w:p>
    <w:p w14:paraId="5B6E771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rPr>
        <w:t>全面普法，文化和旅游法治阵地更加稳固。</w:t>
      </w:r>
    </w:p>
    <w:p w14:paraId="20DE5A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一是</w:t>
      </w:r>
      <w:r>
        <w:rPr>
          <w:rFonts w:hint="default" w:ascii="仿宋_GB2312" w:hAnsi="仿宋_GB2312" w:eastAsia="仿宋_GB2312" w:cs="仿宋_GB2312"/>
          <w:b w:val="0"/>
          <w:bCs w:val="0"/>
          <w:color w:val="auto"/>
          <w:kern w:val="2"/>
          <w:sz w:val="32"/>
          <w:szCs w:val="32"/>
          <w:lang w:val="en-US" w:eastAsia="zh-CN" w:bidi="ar-SA"/>
        </w:rPr>
        <w:t>坚持普法执法相结合。将普法工作与</w:t>
      </w:r>
      <w:r>
        <w:rPr>
          <w:rFonts w:hint="eastAsia" w:ascii="仿宋_GB2312" w:hAnsi="仿宋_GB2312" w:eastAsia="仿宋_GB2312" w:cs="仿宋_GB2312"/>
          <w:b w:val="0"/>
          <w:bCs w:val="0"/>
          <w:color w:val="auto"/>
          <w:kern w:val="2"/>
          <w:sz w:val="32"/>
          <w:szCs w:val="32"/>
          <w:lang w:val="en-US" w:eastAsia="zh-CN" w:bidi="ar-SA"/>
        </w:rPr>
        <w:t>执法</w:t>
      </w:r>
      <w:r>
        <w:rPr>
          <w:rFonts w:hint="default" w:ascii="仿宋_GB2312" w:hAnsi="仿宋_GB2312" w:eastAsia="仿宋_GB2312" w:cs="仿宋_GB2312"/>
          <w:b w:val="0"/>
          <w:bCs w:val="0"/>
          <w:color w:val="auto"/>
          <w:kern w:val="2"/>
          <w:sz w:val="32"/>
          <w:szCs w:val="32"/>
          <w:lang w:val="en-US" w:eastAsia="zh-CN" w:bidi="ar-SA"/>
        </w:rPr>
        <w:t>检查、行政处罚、行政审批等日常工作融合，在日常执法、</w:t>
      </w:r>
      <w:r>
        <w:rPr>
          <w:rFonts w:hint="eastAsia" w:ascii="仿宋_GB2312" w:hAnsi="仿宋_GB2312" w:eastAsia="仿宋_GB2312" w:cs="仿宋_GB2312"/>
          <w:b w:val="0"/>
          <w:bCs w:val="0"/>
          <w:color w:val="auto"/>
          <w:kern w:val="2"/>
          <w:sz w:val="32"/>
          <w:szCs w:val="32"/>
          <w:lang w:val="en-US" w:eastAsia="zh-CN" w:bidi="ar-SA"/>
        </w:rPr>
        <w:t>安全</w:t>
      </w:r>
      <w:r>
        <w:rPr>
          <w:rFonts w:hint="default" w:ascii="仿宋_GB2312" w:hAnsi="仿宋_GB2312" w:eastAsia="仿宋_GB2312" w:cs="仿宋_GB2312"/>
          <w:b w:val="0"/>
          <w:bCs w:val="0"/>
          <w:color w:val="auto"/>
          <w:kern w:val="2"/>
          <w:sz w:val="32"/>
          <w:szCs w:val="32"/>
          <w:lang w:val="en-US" w:eastAsia="zh-CN" w:bidi="ar-SA"/>
        </w:rPr>
        <w:t>检查过程中，大力开展插针式、滴灌式普法活动，向</w:t>
      </w:r>
      <w:r>
        <w:rPr>
          <w:rFonts w:hint="eastAsia" w:ascii="仿宋_GB2312" w:hAnsi="仿宋_GB2312" w:eastAsia="仿宋_GB2312" w:cs="仿宋_GB2312"/>
          <w:b w:val="0"/>
          <w:bCs w:val="0"/>
          <w:color w:val="auto"/>
          <w:kern w:val="2"/>
          <w:sz w:val="32"/>
          <w:szCs w:val="32"/>
          <w:lang w:val="en-US" w:eastAsia="zh-CN" w:bidi="ar-SA"/>
        </w:rPr>
        <w:t>文旅企业负责人和从业人员</w:t>
      </w:r>
      <w:r>
        <w:rPr>
          <w:rFonts w:hint="default" w:ascii="仿宋_GB2312" w:hAnsi="仿宋_GB2312" w:eastAsia="仿宋_GB2312" w:cs="仿宋_GB2312"/>
          <w:b w:val="0"/>
          <w:bCs w:val="0"/>
          <w:color w:val="auto"/>
          <w:kern w:val="2"/>
          <w:sz w:val="32"/>
          <w:szCs w:val="32"/>
          <w:lang w:val="en-US" w:eastAsia="zh-CN" w:bidi="ar-SA"/>
        </w:rPr>
        <w:t>不间断开展法治宣传教育，使执法活动成为深入</w:t>
      </w:r>
      <w:r>
        <w:rPr>
          <w:rFonts w:hint="eastAsia" w:ascii="仿宋_GB2312" w:hAnsi="仿宋_GB2312" w:eastAsia="仿宋_GB2312" w:cs="仿宋_GB2312"/>
          <w:b w:val="0"/>
          <w:bCs w:val="0"/>
          <w:color w:val="auto"/>
          <w:kern w:val="2"/>
          <w:sz w:val="32"/>
          <w:szCs w:val="32"/>
          <w:lang w:val="en-US" w:eastAsia="zh-CN" w:bidi="ar-SA"/>
        </w:rPr>
        <w:t>文旅</w:t>
      </w:r>
      <w:r>
        <w:rPr>
          <w:rFonts w:hint="default" w:ascii="仿宋_GB2312" w:hAnsi="仿宋_GB2312" w:eastAsia="仿宋_GB2312" w:cs="仿宋_GB2312"/>
          <w:b w:val="0"/>
          <w:bCs w:val="0"/>
          <w:color w:val="auto"/>
          <w:kern w:val="2"/>
          <w:sz w:val="32"/>
          <w:szCs w:val="32"/>
          <w:lang w:val="en-US" w:eastAsia="zh-CN" w:bidi="ar-SA"/>
        </w:rPr>
        <w:t>行业普法的重要途径，让企业经营者自觉学法懂法守法，使企业健康有序发展</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实现执法效果与普法效果的有机统一。</w:t>
      </w:r>
      <w:r>
        <w:rPr>
          <w:rFonts w:hint="eastAsia" w:ascii="仿宋_GB2312" w:hAnsi="仿宋_GB2312" w:eastAsia="仿宋_GB2312" w:cs="仿宋_GB2312"/>
          <w:b/>
          <w:bCs/>
          <w:color w:val="auto"/>
          <w:kern w:val="2"/>
          <w:sz w:val="32"/>
          <w:szCs w:val="32"/>
          <w:lang w:val="en-US" w:eastAsia="zh-CN" w:bidi="ar-SA"/>
        </w:rPr>
        <w:t>二</w:t>
      </w:r>
      <w:r>
        <w:rPr>
          <w:rFonts w:hint="default" w:ascii="仿宋_GB2312" w:hAnsi="仿宋_GB2312" w:eastAsia="仿宋_GB2312" w:cs="仿宋_GB2312"/>
          <w:b/>
          <w:bCs/>
          <w:color w:val="auto"/>
          <w:kern w:val="2"/>
          <w:sz w:val="32"/>
          <w:szCs w:val="32"/>
          <w:lang w:val="en-US" w:eastAsia="zh-CN" w:bidi="ar-SA"/>
        </w:rPr>
        <w:t>是</w:t>
      </w:r>
      <w:r>
        <w:rPr>
          <w:rFonts w:hint="default" w:ascii="仿宋_GB2312" w:hAnsi="仿宋_GB2312" w:eastAsia="仿宋_GB2312" w:cs="仿宋_GB2312"/>
          <w:b w:val="0"/>
          <w:bCs w:val="0"/>
          <w:color w:val="auto"/>
          <w:kern w:val="2"/>
          <w:sz w:val="32"/>
          <w:szCs w:val="32"/>
          <w:lang w:val="en-US" w:eastAsia="zh-CN" w:bidi="ar-SA"/>
        </w:rPr>
        <w:t>利用</w:t>
      </w:r>
      <w:r>
        <w:rPr>
          <w:rFonts w:hint="eastAsia" w:ascii="仿宋_GB2312" w:hAnsi="仿宋_GB2312" w:eastAsia="仿宋_GB2312" w:cs="仿宋_GB2312"/>
          <w:b w:val="0"/>
          <w:bCs w:val="0"/>
          <w:color w:val="auto"/>
          <w:kern w:val="2"/>
          <w:sz w:val="32"/>
          <w:szCs w:val="32"/>
          <w:lang w:val="en-US" w:eastAsia="zh-CN" w:bidi="ar-SA"/>
        </w:rPr>
        <w:t>重点时段</w:t>
      </w:r>
      <w:r>
        <w:rPr>
          <w:rFonts w:hint="default" w:ascii="仿宋_GB2312" w:hAnsi="仿宋_GB2312" w:eastAsia="仿宋_GB2312" w:cs="仿宋_GB2312"/>
          <w:b w:val="0"/>
          <w:bCs w:val="0"/>
          <w:color w:val="auto"/>
          <w:kern w:val="2"/>
          <w:sz w:val="32"/>
          <w:szCs w:val="32"/>
          <w:lang w:val="en-US" w:eastAsia="zh-CN" w:bidi="ar-SA"/>
        </w:rPr>
        <w:t>开展集中宣传活动。在科技活动周期间突出宣传《中华人民共和国科学技术进步法》和《中华人民共和国科学技术普及法》；利用“3.18”全国文化市场法制宣传日</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“4.15”国家安全日</w:t>
      </w:r>
      <w:r>
        <w:rPr>
          <w:rFonts w:hint="eastAsia" w:ascii="仿宋_GB2312" w:hAnsi="仿宋_GB2312" w:eastAsia="仿宋_GB2312" w:cs="仿宋_GB2312"/>
          <w:b w:val="0"/>
          <w:bCs w:val="0"/>
          <w:color w:val="auto"/>
          <w:kern w:val="2"/>
          <w:sz w:val="32"/>
          <w:szCs w:val="32"/>
          <w:lang w:val="en-US" w:eastAsia="zh-CN" w:bidi="ar-SA"/>
        </w:rPr>
        <w:t>、“5.18”国际博物馆日、</w:t>
      </w:r>
      <w:r>
        <w:rPr>
          <w:rFonts w:hint="default" w:ascii="仿宋_GB2312" w:hAnsi="仿宋_GB2312" w:eastAsia="仿宋_GB2312" w:cs="仿宋_GB2312"/>
          <w:b w:val="0"/>
          <w:bCs w:val="0"/>
          <w:color w:val="auto"/>
          <w:kern w:val="2"/>
          <w:sz w:val="32"/>
          <w:szCs w:val="32"/>
          <w:lang w:val="en-US" w:eastAsia="zh-CN" w:bidi="ar-SA"/>
        </w:rPr>
        <w:t>“6.26”国际禁毒日期间，深入宣传文化市场法律法规，增强广大群众和文化经营者的法律意识，提升群众对文化市场法律法规的知晓率</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三是</w:t>
      </w:r>
      <w:r>
        <w:rPr>
          <w:rFonts w:hint="default" w:ascii="仿宋_GB2312" w:hAnsi="仿宋_GB2312" w:eastAsia="仿宋_GB2312" w:cs="仿宋_GB2312"/>
          <w:b w:val="0"/>
          <w:bCs w:val="0"/>
          <w:color w:val="auto"/>
          <w:kern w:val="2"/>
          <w:sz w:val="32"/>
          <w:szCs w:val="32"/>
          <w:lang w:val="en-US" w:eastAsia="zh-CN" w:bidi="ar-SA"/>
        </w:rPr>
        <w:t>加强对</w:t>
      </w:r>
      <w:r>
        <w:rPr>
          <w:rFonts w:hint="eastAsia" w:ascii="仿宋_GB2312" w:hAnsi="仿宋_GB2312" w:eastAsia="仿宋_GB2312" w:cs="仿宋_GB2312"/>
          <w:b w:val="0"/>
          <w:bCs w:val="0"/>
          <w:color w:val="auto"/>
          <w:kern w:val="2"/>
          <w:sz w:val="32"/>
          <w:szCs w:val="32"/>
          <w:lang w:val="en-US" w:eastAsia="zh-CN" w:bidi="ar-SA"/>
        </w:rPr>
        <w:t>文旅</w:t>
      </w:r>
      <w:r>
        <w:rPr>
          <w:rFonts w:hint="default" w:ascii="仿宋_GB2312" w:hAnsi="仿宋_GB2312" w:eastAsia="仿宋_GB2312" w:cs="仿宋_GB2312"/>
          <w:b w:val="0"/>
          <w:bCs w:val="0"/>
          <w:color w:val="auto"/>
          <w:kern w:val="2"/>
          <w:sz w:val="32"/>
          <w:szCs w:val="32"/>
          <w:lang w:val="en-US" w:eastAsia="zh-CN" w:bidi="ar-SA"/>
        </w:rPr>
        <w:t>重点经营单位、从业人员的培训指导，先后组织举办</w:t>
      </w:r>
      <w:r>
        <w:rPr>
          <w:rFonts w:hint="eastAsia" w:ascii="仿宋_GB2312" w:hAnsi="仿宋_GB2312" w:eastAsia="仿宋_GB2312" w:cs="仿宋_GB2312"/>
          <w:b w:val="0"/>
          <w:bCs w:val="0"/>
          <w:color w:val="auto"/>
          <w:kern w:val="2"/>
          <w:sz w:val="32"/>
          <w:szCs w:val="32"/>
          <w:lang w:val="en-US" w:eastAsia="zh-CN" w:bidi="ar-SA"/>
        </w:rPr>
        <w:t>文旅市场安全生产推进会（培训会）、应急演练、文化艺术类校外培训机构规范办学</w:t>
      </w:r>
      <w:r>
        <w:rPr>
          <w:rFonts w:hint="default" w:ascii="仿宋_GB2312" w:hAnsi="仿宋_GB2312" w:eastAsia="仿宋_GB2312" w:cs="仿宋_GB2312"/>
          <w:b w:val="0"/>
          <w:bCs w:val="0"/>
          <w:color w:val="auto"/>
          <w:kern w:val="2"/>
          <w:sz w:val="32"/>
          <w:szCs w:val="32"/>
          <w:lang w:val="en-US" w:eastAsia="zh-CN" w:bidi="ar-SA"/>
        </w:rPr>
        <w:t>等</w:t>
      </w:r>
      <w:r>
        <w:rPr>
          <w:rFonts w:hint="eastAsia" w:ascii="仿宋_GB2312" w:hAnsi="仿宋_GB2312" w:eastAsia="仿宋_GB2312" w:cs="仿宋_GB2312"/>
          <w:b w:val="0"/>
          <w:bCs w:val="0"/>
          <w:color w:val="auto"/>
          <w:kern w:val="2"/>
          <w:sz w:val="32"/>
          <w:szCs w:val="32"/>
          <w:lang w:val="en-US" w:eastAsia="zh-CN" w:bidi="ar-SA"/>
        </w:rPr>
        <w:t>会议</w:t>
      </w:r>
      <w:r>
        <w:rPr>
          <w:rFonts w:hint="default" w:ascii="仿宋_GB2312" w:hAnsi="仿宋_GB2312" w:eastAsia="仿宋_GB2312" w:cs="仿宋_GB2312"/>
          <w:b w:val="0"/>
          <w:bCs w:val="0"/>
          <w:color w:val="auto"/>
          <w:kern w:val="2"/>
          <w:sz w:val="32"/>
          <w:szCs w:val="32"/>
          <w:lang w:val="en-US" w:eastAsia="zh-CN" w:bidi="ar-SA"/>
        </w:rPr>
        <w:t>，通过讲授解读安全生产、防灾减灾、应急管理、文化旅游相关法律法规，并进行典型案例分析解读，进一步提高经营者守法懂法意识</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b w:val="0"/>
          <w:bCs w:val="0"/>
          <w:color w:val="auto"/>
          <w:kern w:val="2"/>
          <w:sz w:val="32"/>
          <w:szCs w:val="32"/>
          <w:lang w:val="en-US" w:eastAsia="zh-CN" w:bidi="ar-SA"/>
        </w:rPr>
        <w:t>根据行业优势，打造普法亮点。开展</w:t>
      </w:r>
      <w:r>
        <w:rPr>
          <w:rFonts w:hint="default" w:ascii="仿宋_GB2312" w:hAnsi="仿宋_GB2312" w:eastAsia="仿宋_GB2312" w:cs="仿宋_GB2312"/>
          <w:b w:val="0"/>
          <w:bCs w:val="0"/>
          <w:color w:val="auto"/>
          <w:kern w:val="2"/>
          <w:sz w:val="32"/>
          <w:szCs w:val="32"/>
          <w:lang w:val="en-US" w:eastAsia="zh-CN" w:bidi="ar-SA"/>
        </w:rPr>
        <w:t>组织“文明探源我来说”“文化遗产我保护”进机关、进社区、</w:t>
      </w:r>
      <w:r>
        <w:rPr>
          <w:rFonts w:hint="eastAsia" w:ascii="仿宋_GB2312" w:hAnsi="仿宋_GB2312" w:eastAsia="仿宋_GB2312" w:cs="仿宋_GB2312"/>
          <w:b w:val="0"/>
          <w:bCs w:val="0"/>
          <w:color w:val="auto"/>
          <w:kern w:val="2"/>
          <w:sz w:val="32"/>
          <w:szCs w:val="32"/>
          <w:lang w:val="en-US" w:eastAsia="zh-CN" w:bidi="ar-SA"/>
        </w:rPr>
        <w:t>进校园、</w:t>
      </w:r>
      <w:r>
        <w:rPr>
          <w:rFonts w:hint="default" w:ascii="仿宋_GB2312" w:hAnsi="仿宋_GB2312" w:eastAsia="仿宋_GB2312" w:cs="仿宋_GB2312"/>
          <w:b w:val="0"/>
          <w:bCs w:val="0"/>
          <w:color w:val="auto"/>
          <w:kern w:val="2"/>
          <w:sz w:val="32"/>
          <w:szCs w:val="32"/>
          <w:lang w:val="en-US" w:eastAsia="zh-CN" w:bidi="ar-SA"/>
        </w:rPr>
        <w:t>进景区等活动</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讲解文物相关知识及文物保护相关法律法规，增强</w:t>
      </w:r>
      <w:r>
        <w:rPr>
          <w:rFonts w:hint="eastAsia" w:ascii="仿宋_GB2312" w:hAnsi="仿宋_GB2312" w:eastAsia="仿宋_GB2312" w:cs="仿宋_GB2312"/>
          <w:b w:val="0"/>
          <w:bCs w:val="0"/>
          <w:color w:val="auto"/>
          <w:kern w:val="2"/>
          <w:sz w:val="32"/>
          <w:szCs w:val="32"/>
          <w:lang w:val="en-US" w:eastAsia="zh-CN" w:bidi="ar-SA"/>
        </w:rPr>
        <w:t>群众</w:t>
      </w:r>
      <w:r>
        <w:rPr>
          <w:rFonts w:hint="default" w:ascii="仿宋_GB2312" w:hAnsi="仿宋_GB2312" w:eastAsia="仿宋_GB2312" w:cs="仿宋_GB2312"/>
          <w:b w:val="0"/>
          <w:bCs w:val="0"/>
          <w:color w:val="auto"/>
          <w:kern w:val="2"/>
          <w:sz w:val="32"/>
          <w:szCs w:val="32"/>
          <w:lang w:val="en-US" w:eastAsia="zh-CN" w:bidi="ar-SA"/>
        </w:rPr>
        <w:t>对文物资源的保护意识。</w:t>
      </w:r>
      <w:r>
        <w:rPr>
          <w:rFonts w:hint="eastAsia" w:ascii="仿宋_GB2312" w:hAnsi="仿宋_GB2312" w:eastAsia="仿宋_GB2312" w:cs="仿宋_GB2312"/>
          <w:b w:val="0"/>
          <w:bCs w:val="0"/>
          <w:color w:val="auto"/>
          <w:kern w:val="2"/>
          <w:sz w:val="32"/>
          <w:szCs w:val="32"/>
          <w:lang w:val="en-US" w:eastAsia="zh-CN" w:bidi="ar-SA"/>
        </w:rPr>
        <w:t>法治</w:t>
      </w:r>
      <w:r>
        <w:rPr>
          <w:rFonts w:hint="default" w:ascii="仿宋_GB2312" w:hAnsi="仿宋_GB2312" w:eastAsia="仿宋_GB2312" w:cs="仿宋_GB2312"/>
          <w:b w:val="0"/>
          <w:bCs w:val="0"/>
          <w:color w:val="auto"/>
          <w:kern w:val="2"/>
          <w:sz w:val="32"/>
          <w:szCs w:val="32"/>
          <w:lang w:val="en-US" w:eastAsia="zh-CN" w:bidi="ar-SA"/>
        </w:rPr>
        <w:t>文化送戏下乡深入人心</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组织市蒲剧团开展送戏下乡演出，演出廉政剧目《九品巡检》《包青天》《老槐树下》等。充分利用文旅公众号、电子屏等载体，播放宣传相关法律法规知识</w:t>
      </w:r>
      <w:r>
        <w:rPr>
          <w:rFonts w:hint="eastAsia" w:ascii="仿宋_GB2312" w:hAnsi="仿宋_GB2312" w:eastAsia="仿宋_GB2312" w:cs="仿宋_GB2312"/>
          <w:b w:val="0"/>
          <w:bCs w:val="0"/>
          <w:color w:val="auto"/>
          <w:kern w:val="2"/>
          <w:sz w:val="32"/>
          <w:szCs w:val="32"/>
          <w:lang w:val="en-US" w:eastAsia="zh-CN" w:bidi="ar-SA"/>
        </w:rPr>
        <w:t>，营造浓厚氛围</w:t>
      </w:r>
      <w:r>
        <w:rPr>
          <w:rFonts w:hint="default" w:ascii="仿宋_GB2312" w:hAnsi="仿宋_GB2312" w:eastAsia="仿宋_GB2312" w:cs="仿宋_GB2312"/>
          <w:b w:val="0"/>
          <w:bCs w:val="0"/>
          <w:color w:val="auto"/>
          <w:kern w:val="2"/>
          <w:sz w:val="32"/>
          <w:szCs w:val="32"/>
          <w:lang w:val="en-US" w:eastAsia="zh-CN" w:bidi="ar-SA"/>
        </w:rPr>
        <w:t>。</w:t>
      </w:r>
    </w:p>
    <w:p w14:paraId="4DEFD5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120" w:firstLineChars="1600"/>
        <w:jc w:val="both"/>
        <w:textAlignment w:val="auto"/>
        <w:rPr>
          <w:rFonts w:hint="default" w:ascii="仿宋_GB2312" w:hAnsi="仿宋_GB2312" w:eastAsia="仿宋_GB2312" w:cs="仿宋_GB2312"/>
          <w:color w:val="auto"/>
          <w:sz w:val="32"/>
          <w:szCs w:val="32"/>
          <w:lang w:val="en-US" w:eastAsia="zh-CN"/>
        </w:rPr>
      </w:pPr>
      <w:bookmarkStart w:id="0" w:name="_GoBack"/>
      <w:bookmarkEnd w:id="0"/>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E4E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C8BC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C8BC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5A520"/>
    <w:multiLevelType w:val="singleLevel"/>
    <w:tmpl w:val="A385A520"/>
    <w:lvl w:ilvl="0" w:tentative="0">
      <w:start w:val="4"/>
      <w:numFmt w:val="chineseCounting"/>
      <w:suff w:val="nothing"/>
      <w:lvlText w:val="（%1）"/>
      <w:lvlJc w:val="left"/>
      <w:rPr>
        <w:rFonts w:hint="eastAsia"/>
      </w:rPr>
    </w:lvl>
  </w:abstractNum>
  <w:abstractNum w:abstractNumId="1">
    <w:nsid w:val="75250B11"/>
    <w:multiLevelType w:val="singleLevel"/>
    <w:tmpl w:val="75250B1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C14A4"/>
    <w:rsid w:val="0FDC34C4"/>
    <w:rsid w:val="45551EDA"/>
    <w:rsid w:val="4F0C14A4"/>
    <w:rsid w:val="51567586"/>
    <w:rsid w:val="59C3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Default"/>
    <w:qFormat/>
    <w:uiPriority w:val="99"/>
    <w:pPr>
      <w:widowControl w:val="0"/>
      <w:autoSpaceDE w:val="0"/>
      <w:autoSpaceDN w:val="0"/>
      <w:adjustRightInd w:val="0"/>
    </w:pPr>
    <w:rPr>
      <w:rFonts w:ascii="??_GB2312" w:hAnsi="Calibri" w:eastAsia="Times New Roman" w:cs="??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2507</Words>
  <Characters>2547</Characters>
  <Lines>0</Lines>
  <Paragraphs>0</Paragraphs>
  <TotalTime>1</TotalTime>
  <ScaleCrop>false</ScaleCrop>
  <LinksUpToDate>false</LinksUpToDate>
  <CharactersWithSpaces>2551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2025-10-10T07:51:00Z</dcterms:created>
  <dc:creator>李琳</dc:creator>
  <cp:lastModifiedBy></cp:lastModifiedBy>
  <dcterms:modified xsi:type="dcterms:W3CDTF">2026-03-27T00:36:10Z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DC5D335D1964478FB240186B84387FCA_11</vt:lpwstr>
  </property>
  <property fmtid="{D5CDD505-2E9C-101B-9397-08002B2CF9AE}" pid="4" name="KSOTemplateDocerSaveRecord">
    <vt:lpwstr>eyJoZGlkIjoiY2E0Nzk2OTU0YzU3MGY5YWNmMzlmZmRmNzhlZGJhYmUiLCJ1c2VySWQiOiI2NjEzNzkyMjgifQ==</vt:lpwstr>
  </property>
</Properties>
</file>