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C122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灵宝市人社局2025年法治政府建设工作报告</w:t>
      </w:r>
    </w:p>
    <w:p w14:paraId="44558CB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val="en-US" w:eastAsia="zh-CN"/>
        </w:rPr>
      </w:pPr>
    </w:p>
    <w:p w14:paraId="1FAF602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年来，灵宝市人社局坚持以习近平法治思想为根本遵循，围绕年度法治政府建设工作要点，深入贯彻落实党的二十大及二十届三中全会精神，全面落实国家和省、市、县决策部署，紧紧围绕年度法治政府建设目标任务，大力推动法治政府建设，强化法治引领，注重法治规范，创新法治机制，优化法治营商环境，统筹推进法治政府建设建设。现将我局2025年度工作报告如下：</w:t>
      </w:r>
    </w:p>
    <w:p w14:paraId="61F064A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工作开展情况</w:t>
      </w:r>
    </w:p>
    <w:p w14:paraId="70FF83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（一）强化思想引领，筑牢法治建设根基</w:t>
      </w:r>
    </w:p>
    <w:p w14:paraId="61A965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通过党组理论学习中心组等形式开展法律法规的学习，深入学习贯彻习近平法治思想、《中华人民共和国劳动法》、《中华人民共和国社会保险法》、《劳动保障监察条例》等法律法规，提升班子成员依法行政能力。二是加强本系统人员的学法普法。创新教育形式，组织开展“人社大讲堂”活动，采取班子成员带头领学、机关科室轮流讲等方式，先后组织学习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次，统筹学习人社部门法律法规的同时，重点开展《宪法》、《民法典》、《行政处罚法》等普法学习。三是加强执法队伍学法普法工作。通过定期开展专题培训班、组织执法人员进行线上培训等，对一线劳动保障监察执法人员进行全员轮训，全面提升法律素质和执法能力。着力打造一支“信念过硬、政治过硬、责任过硬、能力过硬、作风过硬”的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行政执法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队伍。高度重视法治建设工作，主要负责人认真履行法治建设第一责任人职责，对法治建设重要工作亲自部署、重大问题亲自解决、重点环节亲自协调、重点任务亲自督办。通过开展党组中心组研讨学习、全体党员大会等，督促领导干部学法用法工作制度化、规范化，不断提高领导干部科学决策、民主决策、依法决策和依法行政的能力和水平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，</w:t>
      </w:r>
      <w:r>
        <w:rPr>
          <w:rFonts w:hint="eastAsia"/>
          <w:lang w:val="en-US" w:eastAsia="zh-CN"/>
        </w:rPr>
        <w:t>形成“主要领导亲自抓、分管领导具体抓、各部门协同抓”的工作格局</w:t>
      </w: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。</w:t>
      </w:r>
    </w:p>
    <w:p w14:paraId="334705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（二）规范行政职能，提升治理服务效能​</w:t>
      </w:r>
    </w:p>
    <w:p w14:paraId="293FF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坚持规范执法，依法维权，主动抓好化解、处置和预防劳资纠纷等重点工作，有力地维护社会和谐稳定。一是高度重视、灵活处理，积极化解不稳定因素。202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年，我局劳动关系仲裁科截至9月底，劳动仲裁共受理155件，不予受理49件，当期立案106，按期结案106件，按期结案率100%，调解成功率91%。二是长效治理、多措并举，确保根治欠薪落到实处。202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年，我局劳动监察科共接待受理投诉举报945件，已办结930件。其中，办结国家欠薪平台欠薪线索496件；办结河南省监管平台欠薪线索115件；办结12345市长热线欠薪线索204件；办结现场举报投诉欠薪线索94件、督查件17件、信访件4件。为795名劳动者追回劳动报酬419万元。用人单位欠薪等问题及时得到处置，保障了我市劳动领域和谐稳定。三是及时化解、多元共治，实现“双下降”目标。梳理我局败诉案件，深入分析败诉原因，组织领导干部、执法人员进行法治能力培训，强化依法行政的执法理念，增强依法行政的效能，从源头上防止和减少行政争议。深入推进诉前化解、诉中化解、加强行政诉讼案件信息共享，强化沟通对接，切实降低行政诉讼发案量和败诉率。</w:t>
      </w:r>
    </w:p>
    <w:p w14:paraId="1BE12D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（三）规范执法行为，维护群众合法权益</w:t>
      </w:r>
    </w:p>
    <w:p w14:paraId="58FC9A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>一是全面落实“谁执法谁普法”责任制。为深入学习贯彻习近平法治思想，充分依托人民政府网站、美篇账号、服务窗口、日常巡查等多种途径，采取“线上+线下”的方式，结合人社系统法律法规宣传月活动、“宪法宣传周”等特殊时间节点，广泛开展《中华人民共和国宪法》、《中华人民共和国劳动法》、《中华人民共和国劳动合同法》、《中华人民共和国未成年人保护法》、《保障农民工工资支付条例》等与人力资源和社会保障、民生保障密切相关的法律法规宣传，全局60余名人社干部深入企业、社区、乡村送法律、送政策，累计发放宣传单1万余份，接受群众咨询约130人次，营造引导企业和职工自觉尊法学法守法用法的良好环境，加强外出务工人员自我保护能力。二是开展重点领域执法攻坚。严格落实农民工工资专用账户、工资上传和代发、项目经理考勤，实名制管理、工资保证金等制度，检查在建工程项目12个，对制度执行不力项目下发限期整改指令书20份。工资专户开设率 100%、工资按时足额代发率100%、项目经理考勤到岗率 95%、通过制度整改，有效预防欠薪隐患涉及农民工620人。坚持教育引导、普法宣传优先，不以罚款为首要目的。截至目前，对欠薪主体作出行政处理、处罚2起。在刚性执法方面，对于性质恶劣、涉嫌犯罪的欠薪行为“零容忍”，坚决依法移送公安机关追究刑事责任。</w:t>
      </w:r>
    </w:p>
    <w:p w14:paraId="014C5674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/>
          <w:sz w:val="72"/>
          <w:szCs w:val="7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2681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8E0993">
                          <w:pPr>
                            <w:pStyle w:val="3"/>
                            <w:rPr>
                              <w:sz w:val="22"/>
                              <w:szCs w:val="44"/>
                            </w:rPr>
                          </w:pPr>
                          <w:r>
                            <w:rPr>
                              <w:sz w:val="22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sz w:val="22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44"/>
                            </w:rPr>
                            <w:t>1</w:t>
                          </w:r>
                          <w:r>
                            <w:rPr>
                              <w:sz w:val="22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8E0993">
                    <w:pPr>
                      <w:pStyle w:val="3"/>
                      <w:rPr>
                        <w:sz w:val="22"/>
                        <w:szCs w:val="44"/>
                      </w:rPr>
                    </w:pPr>
                    <w:r>
                      <w:rPr>
                        <w:sz w:val="22"/>
                        <w:szCs w:val="44"/>
                      </w:rPr>
                      <w:t xml:space="preserve">— </w:t>
                    </w:r>
                    <w:r>
                      <w:rPr>
                        <w:sz w:val="22"/>
                        <w:szCs w:val="44"/>
                      </w:rPr>
                      <w:fldChar w:fldCharType="begin"/>
                    </w:r>
                    <w:r>
                      <w:rPr>
                        <w:sz w:val="22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44"/>
                      </w:rPr>
                      <w:fldChar w:fldCharType="separate"/>
                    </w:r>
                    <w:r>
                      <w:rPr>
                        <w:sz w:val="22"/>
                        <w:szCs w:val="44"/>
                      </w:rPr>
                      <w:t>1</w:t>
                    </w:r>
                    <w:r>
                      <w:rPr>
                        <w:sz w:val="22"/>
                        <w:szCs w:val="44"/>
                      </w:rPr>
                      <w:fldChar w:fldCharType="end"/>
                    </w:r>
                    <w:r>
                      <w:rPr>
                        <w:sz w:val="22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4A88BD"/>
    <w:multiLevelType w:val="singleLevel"/>
    <w:tmpl w:val="264A88BD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B035F"/>
    <w:rsid w:val="254954E3"/>
    <w:rsid w:val="2F2E1D97"/>
    <w:rsid w:val="323A2CC6"/>
    <w:rsid w:val="37311FE1"/>
    <w:rsid w:val="41051883"/>
    <w:rsid w:val="50C714E9"/>
    <w:rsid w:val="60094879"/>
    <w:rsid w:val="61474CB9"/>
    <w:rsid w:val="62E5040B"/>
    <w:rsid w:val="750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729</Words>
  <Characters>738</Characters>
  <Lines>0</Lines>
  <Paragraphs>0</Paragraphs>
  <TotalTime>31</TotalTime>
  <ScaleCrop>false</ScaleCrop>
  <LinksUpToDate>false</LinksUpToDate>
  <CharactersWithSpaces>738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2024-08-20T00:46:00Z</dcterms:created>
  <dc:creator>Administrator</dc:creator>
  <cp:lastModifiedBy></cp:lastModifiedBy>
  <cp:lastPrinted>2025-10-14T07:36:00Z</cp:lastPrinted>
  <dcterms:modified xsi:type="dcterms:W3CDTF">2026-03-27T00:28:44Z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F0B7043656244700B0E470E592CC0C97_12</vt:lpwstr>
  </property>
  <property fmtid="{D5CDD505-2E9C-101B-9397-08002B2CF9AE}" pid="4" name="KSOTemplateDocerSaveRecord">
    <vt:lpwstr>eyJoZGlkIjoiY2E0Nzk2OTU0YzU3MGY5YWNmMzlmZmRmNzhlZGJhYmUiLCJ1c2VySWQiOiI2NjEzNzkyMjgifQ==</vt:lpwstr>
  </property>
</Properties>
</file>