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18"/>
        </w:rPr>
      </w:pPr>
    </w:p>
    <w:p>
      <w:pPr>
        <w:spacing w:line="211" w:lineRule="auto" w:before="76"/>
        <w:ind w:left="280" w:right="6752" w:firstLine="0"/>
        <w:jc w:val="left"/>
        <w:rPr>
          <w:rFonts w:ascii="方正黑体_GBK" w:eastAsia="方正黑体_GBK" w:hint="eastAsia"/>
          <w:sz w:val="28"/>
        </w:rPr>
      </w:pPr>
      <w:r>
        <w:rPr>
          <w:rFonts w:ascii="方正黑体_GBK" w:eastAsia="方正黑体_GBK" w:hint="eastAsia"/>
          <w:color w:val="231F20"/>
          <w:spacing w:val="3"/>
          <w:sz w:val="28"/>
        </w:rPr>
        <w:t>灵宝市十五届人大</w:t>
      </w:r>
      <w:r>
        <w:rPr>
          <w:rFonts w:ascii="方正黑体_GBK" w:eastAsia="方正黑体_GBK" w:hint="eastAsia"/>
          <w:color w:val="231F20"/>
          <w:spacing w:val="-12"/>
          <w:sz w:val="28"/>
        </w:rPr>
        <w:t>五次会议文件</w:t>
      </w:r>
      <w:r>
        <w:rPr>
          <w:rFonts w:ascii="方正黑体_GBK" w:eastAsia="方正黑体_GBK" w:hint="eastAsia"/>
          <w:color w:val="231F20"/>
          <w:spacing w:val="-32"/>
          <w:sz w:val="28"/>
        </w:rPr>
        <w:t>（</w:t>
      </w:r>
      <w:r>
        <w:rPr>
          <w:rFonts w:ascii="NEU-FZ" w:eastAsia="NEU-FZ"/>
          <w:color w:val="231F20"/>
          <w:spacing w:val="-32"/>
          <w:sz w:val="28"/>
        </w:rPr>
        <w:t>18</w:t>
      </w:r>
      <w:r>
        <w:rPr>
          <w:rFonts w:ascii="方正黑体_GBK" w:eastAsia="方正黑体_GBK" w:hint="eastAsia"/>
          <w:color w:val="231F20"/>
          <w:spacing w:val="-32"/>
          <w:sz w:val="28"/>
        </w:rPr>
        <w:t>）</w:t>
      </w:r>
    </w:p>
    <w:p>
      <w:pPr>
        <w:pStyle w:val="BodyText"/>
        <w:spacing w:before="1"/>
        <w:rPr>
          <w:rFonts w:ascii="方正黑体_GBK"/>
          <w:sz w:val="22"/>
        </w:rPr>
      </w:pPr>
    </w:p>
    <w:p>
      <w:pPr>
        <w:pStyle w:val="Heading1"/>
        <w:spacing w:before="1"/>
        <w:ind w:left="1072"/>
      </w:pPr>
      <w:r>
        <w:rPr>
          <w:color w:val="231F20"/>
          <w:spacing w:val="10"/>
        </w:rPr>
        <w:t>关于灵宝市</w:t>
      </w: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53"/>
        </w:rPr>
        <w:t> </w:t>
      </w:r>
      <w:r>
        <w:rPr>
          <w:color w:val="231F20"/>
        </w:rPr>
        <w:t>年财政预算执行情况和</w:t>
      </w:r>
    </w:p>
    <w:p>
      <w:pPr>
        <w:spacing w:line="667" w:lineRule="exact" w:before="0"/>
        <w:ind w:left="1308" w:right="0" w:firstLine="0"/>
        <w:jc w:val="left"/>
        <w:rPr>
          <w:rFonts w:ascii="方正大标宋_GBK" w:eastAsia="方正大标宋_GBK" w:hint="eastAsia"/>
          <w:sz w:val="42"/>
        </w:rPr>
      </w:pPr>
      <w:r>
        <w:rPr>
          <w:rFonts w:ascii="Times New Roman" w:eastAsia="Times New Roman"/>
          <w:color w:val="231F20"/>
          <w:sz w:val="42"/>
        </w:rPr>
        <w:t>2025</w:t>
      </w:r>
      <w:r>
        <w:rPr>
          <w:rFonts w:ascii="Times New Roman" w:eastAsia="Times New Roman"/>
          <w:color w:val="231F20"/>
          <w:spacing w:val="-53"/>
          <w:sz w:val="42"/>
        </w:rPr>
        <w:t> </w:t>
      </w:r>
      <w:r>
        <w:rPr>
          <w:rFonts w:ascii="方正大标宋_GBK" w:eastAsia="方正大标宋_GBK" w:hint="eastAsia"/>
          <w:color w:val="231F20"/>
          <w:spacing w:val="-28"/>
          <w:sz w:val="42"/>
        </w:rPr>
        <w:t>年财政预算</w:t>
      </w:r>
      <w:r>
        <w:rPr>
          <w:rFonts w:ascii="方正大标宋_GBK" w:eastAsia="方正大标宋_GBK" w:hint="eastAsia"/>
          <w:color w:val="231F20"/>
          <w:spacing w:val="-72"/>
          <w:sz w:val="42"/>
        </w:rPr>
        <w:t>（</w:t>
      </w:r>
      <w:r>
        <w:rPr>
          <w:rFonts w:ascii="方正大标宋_GBK" w:eastAsia="方正大标宋_GBK" w:hint="eastAsia"/>
          <w:color w:val="231F20"/>
          <w:spacing w:val="-37"/>
          <w:sz w:val="42"/>
        </w:rPr>
        <w:t>草案</w:t>
      </w:r>
      <w:r>
        <w:rPr>
          <w:rFonts w:ascii="方正大标宋_GBK" w:eastAsia="方正大标宋_GBK" w:hint="eastAsia"/>
          <w:color w:val="231F20"/>
          <w:spacing w:val="-137"/>
          <w:sz w:val="42"/>
        </w:rPr>
        <w:t>）</w:t>
      </w:r>
      <w:r>
        <w:rPr>
          <w:rFonts w:ascii="方正大标宋_GBK" w:eastAsia="方正大标宋_GBK" w:hint="eastAsia"/>
          <w:color w:val="231F20"/>
          <w:spacing w:val="-47"/>
          <w:sz w:val="42"/>
        </w:rPr>
        <w:t>的报告</w:t>
      </w:r>
      <w:r>
        <w:rPr>
          <w:rFonts w:ascii="方正大标宋_GBK" w:eastAsia="方正大标宋_GBK" w:hint="eastAsia"/>
          <w:color w:val="231F20"/>
          <w:spacing w:val="-72"/>
          <w:sz w:val="42"/>
        </w:rPr>
        <w:t>（</w:t>
      </w:r>
      <w:r>
        <w:rPr>
          <w:rFonts w:ascii="方正大标宋_GBK" w:eastAsia="方正大标宋_GBK" w:hint="eastAsia"/>
          <w:color w:val="231F20"/>
          <w:spacing w:val="-37"/>
          <w:sz w:val="42"/>
        </w:rPr>
        <w:t>书面</w:t>
      </w:r>
      <w:r>
        <w:rPr>
          <w:rFonts w:ascii="方正大标宋_GBK" w:eastAsia="方正大标宋_GBK" w:hint="eastAsia"/>
          <w:color w:val="231F20"/>
          <w:sz w:val="42"/>
        </w:rPr>
        <w:t>）</w:t>
      </w:r>
    </w:p>
    <w:p>
      <w:pPr>
        <w:pStyle w:val="BodyText"/>
        <w:spacing w:before="11"/>
        <w:rPr>
          <w:rFonts w:ascii="方正大标宋_GBK"/>
          <w:sz w:val="31"/>
        </w:rPr>
      </w:pPr>
    </w:p>
    <w:p>
      <w:pPr>
        <w:pStyle w:val="BodyText"/>
        <w:ind w:left="8"/>
        <w:jc w:val="center"/>
        <w:rPr>
          <w:rFonts w:ascii="楷体_GB2312" w:hAnsi="楷体_GB2312" w:eastAsia="楷体_GB2312" w:hint="eastAsia"/>
        </w:rPr>
      </w:pPr>
      <w:r>
        <w:rPr>
          <w:rFonts w:ascii="楷体_GB2312" w:hAnsi="楷体_GB2312" w:eastAsia="楷体_GB2312" w:hint="eastAsia"/>
          <w:color w:val="231F20"/>
          <w:spacing w:val="-16"/>
        </w:rPr>
        <w:t>——</w:t>
      </w:r>
      <w:r>
        <w:rPr>
          <w:rFonts w:ascii="Times New Roman" w:hAnsi="Times New Roman" w:eastAsia="Times New Roman"/>
          <w:color w:val="231F20"/>
          <w:spacing w:val="-16"/>
        </w:rPr>
        <w:t>2025 </w:t>
      </w:r>
      <w:r>
        <w:rPr>
          <w:rFonts w:ascii="楷体_GB2312" w:hAnsi="楷体_GB2312" w:eastAsia="楷体_GB2312" w:hint="eastAsia"/>
          <w:color w:val="231F20"/>
          <w:spacing w:val="40"/>
        </w:rPr>
        <w:t>年</w:t>
      </w:r>
      <w:r>
        <w:rPr>
          <w:rFonts w:ascii="Times New Roman" w:hAnsi="Times New Roman" w:eastAsia="Times New Roman"/>
          <w:color w:val="231F20"/>
        </w:rPr>
        <w:t>3 </w:t>
      </w:r>
      <w:r>
        <w:rPr>
          <w:rFonts w:ascii="楷体_GB2312" w:hAnsi="楷体_GB2312" w:eastAsia="楷体_GB2312" w:hint="eastAsia"/>
          <w:color w:val="231F20"/>
          <w:spacing w:val="40"/>
        </w:rPr>
        <w:t>月</w:t>
      </w:r>
      <w:r>
        <w:rPr>
          <w:rFonts w:ascii="Times New Roman" w:hAnsi="Times New Roman" w:eastAsia="Times New Roman"/>
          <w:color w:val="231F20"/>
        </w:rPr>
        <w:t>1 </w:t>
      </w:r>
      <w:r>
        <w:rPr>
          <w:rFonts w:ascii="楷体_GB2312" w:hAnsi="楷体_GB2312" w:eastAsia="楷体_GB2312" w:hint="eastAsia"/>
          <w:color w:val="231F20"/>
        </w:rPr>
        <w:t>日在市十五届人大五次会议上</w:t>
      </w:r>
    </w:p>
    <w:p>
      <w:pPr>
        <w:pStyle w:val="BodyText"/>
        <w:tabs>
          <w:tab w:pos="1611" w:val="left" w:leader="none"/>
        </w:tabs>
        <w:spacing w:before="137"/>
        <w:ind w:left="11"/>
        <w:jc w:val="center"/>
        <w:rPr>
          <w:rFonts w:ascii="黑体" w:eastAsia="黑体" w:hint="eastAsia"/>
        </w:rPr>
      </w:pPr>
      <w:r>
        <w:rPr>
          <w:rFonts w:ascii="黑体" w:eastAsia="黑体" w:hint="eastAsia"/>
          <w:color w:val="231F20"/>
        </w:rPr>
        <w:t>市财政局</w:t>
        <w:tab/>
        <w:t>张卫刚</w:t>
      </w:r>
    </w:p>
    <w:p>
      <w:pPr>
        <w:pStyle w:val="BodyText"/>
        <w:rPr>
          <w:rFonts w:ascii="黑体"/>
          <w:sz w:val="20"/>
        </w:rPr>
      </w:pPr>
    </w:p>
    <w:p>
      <w:pPr>
        <w:pStyle w:val="BodyText"/>
        <w:rPr>
          <w:rFonts w:ascii="黑体"/>
          <w:sz w:val="20"/>
        </w:rPr>
      </w:pPr>
    </w:p>
    <w:p>
      <w:pPr>
        <w:pStyle w:val="BodyText"/>
        <w:rPr>
          <w:rFonts w:ascii="黑体"/>
          <w:sz w:val="20"/>
        </w:rPr>
      </w:pPr>
    </w:p>
    <w:p>
      <w:pPr>
        <w:pStyle w:val="BodyText"/>
        <w:spacing w:before="11"/>
        <w:rPr>
          <w:rFonts w:ascii="黑体"/>
          <w:sz w:val="19"/>
        </w:rPr>
      </w:pPr>
    </w:p>
    <w:p>
      <w:pPr>
        <w:pStyle w:val="BodyText"/>
        <w:spacing w:before="55"/>
        <w:ind w:left="286"/>
      </w:pPr>
      <w:r>
        <w:rPr>
          <w:color w:val="231F20"/>
        </w:rPr>
        <w:t>各位代表：</w:t>
      </w:r>
    </w:p>
    <w:p>
      <w:pPr>
        <w:pStyle w:val="BodyText"/>
        <w:spacing w:before="100"/>
        <w:ind w:left="937"/>
      </w:pPr>
      <w:r>
        <w:rPr>
          <w:color w:val="231F20"/>
        </w:rPr>
        <w:t>我受市人民政府委托，向大会报告灵宝市</w:t>
      </w:r>
      <w:r>
        <w:rPr>
          <w:rFonts w:ascii="Times New Roman" w:eastAsia="Times New Roman"/>
          <w:color w:val="231F20"/>
        </w:rPr>
        <w:t>2024 </w:t>
      </w:r>
      <w:r>
        <w:rPr>
          <w:color w:val="231F20"/>
        </w:rPr>
        <w:t>年财政预算</w:t>
      </w:r>
    </w:p>
    <w:p>
      <w:pPr>
        <w:pStyle w:val="BodyText"/>
        <w:spacing w:line="300" w:lineRule="auto" w:before="101"/>
        <w:ind w:left="286" w:right="253"/>
      </w:pPr>
      <w:r>
        <w:rPr>
          <w:color w:val="231F20"/>
          <w:spacing w:val="12"/>
        </w:rPr>
        <w:t>执行情况和</w:t>
      </w:r>
      <w:r>
        <w:rPr>
          <w:rFonts w:ascii="Times New Roman" w:eastAsia="Times New Roman"/>
          <w:color w:val="231F20"/>
        </w:rPr>
        <w:t>2025 </w:t>
      </w:r>
      <w:r>
        <w:rPr>
          <w:color w:val="231F20"/>
          <w:spacing w:val="-20"/>
        </w:rPr>
        <w:t>年财政预算</w:t>
      </w:r>
      <w:r>
        <w:rPr>
          <w:color w:val="231F20"/>
          <w:spacing w:val="-40"/>
        </w:rPr>
        <w:t>（</w:t>
      </w:r>
      <w:r>
        <w:rPr>
          <w:color w:val="231F20"/>
          <w:spacing w:val="-18"/>
        </w:rPr>
        <w:t>草案</w:t>
      </w:r>
      <w:r>
        <w:rPr>
          <w:color w:val="231F20"/>
          <w:spacing w:val="-134"/>
        </w:rPr>
        <w:t>）</w:t>
      </w:r>
      <w:r>
        <w:rPr>
          <w:color w:val="231F20"/>
          <w:spacing w:val="-22"/>
        </w:rPr>
        <w:t>，请予审议，并请各位政协委员和其他列席人士提出意见。</w:t>
      </w:r>
    </w:p>
    <w:p>
      <w:pPr>
        <w:pStyle w:val="BodyText"/>
        <w:spacing w:line="406" w:lineRule="exact"/>
        <w:ind w:left="937"/>
        <w:rPr>
          <w:rFonts w:ascii="黑体" w:eastAsia="黑体" w:hint="eastAsia"/>
        </w:rPr>
      </w:pPr>
      <w:r>
        <w:rPr>
          <w:rFonts w:ascii="黑体" w:eastAsia="黑体" w:hint="eastAsia"/>
          <w:color w:val="231F20"/>
          <w:spacing w:val="-80"/>
        </w:rPr>
        <w:t>一、</w:t>
      </w:r>
      <w:r>
        <w:rPr>
          <w:rFonts w:ascii="Times New Roman" w:eastAsia="Times New Roman"/>
          <w:color w:val="231F20"/>
        </w:rPr>
        <w:t>2024 </w:t>
      </w:r>
      <w:r>
        <w:rPr>
          <w:rFonts w:ascii="黑体" w:eastAsia="黑体" w:hint="eastAsia"/>
          <w:color w:val="231F20"/>
        </w:rPr>
        <w:t>年财政预算执行情况</w:t>
      </w:r>
    </w:p>
    <w:p>
      <w:pPr>
        <w:pStyle w:val="BodyText"/>
        <w:spacing w:line="300" w:lineRule="auto" w:before="100"/>
        <w:ind w:left="286" w:right="253" w:firstLine="651"/>
        <w:jc w:val="both"/>
      </w:pPr>
      <w:r>
        <w:rPr>
          <w:rFonts w:ascii="Times New Roman" w:hAnsi="Times New Roman" w:eastAsia="Times New Roman"/>
          <w:color w:val="231F20"/>
        </w:rPr>
        <w:t>2024 </w:t>
      </w:r>
      <w:r>
        <w:rPr>
          <w:color w:val="231F20"/>
          <w:spacing w:val="-1"/>
        </w:rPr>
        <w:t>年，面对复杂严峻经济形势和收支矛盾异常突出的不</w:t>
      </w:r>
      <w:r>
        <w:rPr>
          <w:color w:val="231F20"/>
          <w:spacing w:val="-24"/>
        </w:rPr>
        <w:t>利局面，在市委、市政府的正确领导和市人大、市政协的监督支持</w:t>
      </w:r>
      <w:r>
        <w:rPr>
          <w:color w:val="231F20"/>
          <w:spacing w:val="-15"/>
        </w:rPr>
        <w:t>下，市财政部门全面贯彻落实市委十三届六次全会暨经济工作会</w:t>
      </w:r>
      <w:r>
        <w:rPr>
          <w:color w:val="231F20"/>
          <w:spacing w:val="-13"/>
        </w:rPr>
        <w:t>议精神，紧紧围绕市十五届人大四次会议确定的目标任务，积极</w:t>
      </w:r>
      <w:r>
        <w:rPr>
          <w:color w:val="231F20"/>
          <w:spacing w:val="-27"/>
        </w:rPr>
        <w:t>融入县域经济高质量发展大局，坚持以政领财、以财辅政，开源节</w:t>
      </w:r>
      <w:r>
        <w:rPr>
          <w:color w:val="231F20"/>
          <w:spacing w:val="-33"/>
        </w:rPr>
        <w:t>流，优化支出，兜牢“三保”，全力防范政府债务风险，较好完成了</w:t>
      </w:r>
      <w:r>
        <w:rPr>
          <w:color w:val="231F20"/>
          <w:spacing w:val="-13"/>
        </w:rPr>
        <w:t>全年财政预算任务，有力保障了全市经济平稳运行。</w:t>
      </w:r>
    </w:p>
    <w:p>
      <w:pPr>
        <w:spacing w:line="396" w:lineRule="exact" w:before="0"/>
        <w:ind w:left="822" w:right="0" w:firstLine="0"/>
        <w:jc w:val="left"/>
        <w:rPr>
          <w:rFonts w:ascii="楷体_GB2312" w:eastAsia="楷体_GB2312" w:hint="eastAsia"/>
          <w:sz w:val="32"/>
        </w:rPr>
      </w:pPr>
      <w:r>
        <w:rPr>
          <w:rFonts w:ascii="楷体_GB2312" w:eastAsia="楷体_GB2312" w:hint="eastAsia"/>
          <w:color w:val="231F20"/>
          <w:sz w:val="32"/>
        </w:rPr>
        <w:t>（一）</w:t>
      </w:r>
      <w:r>
        <w:rPr>
          <w:rFonts w:ascii="Times New Roman" w:eastAsia="Times New Roman"/>
          <w:b/>
          <w:color w:val="231F20"/>
          <w:sz w:val="32"/>
        </w:rPr>
        <w:t>2024 </w:t>
      </w:r>
      <w:r>
        <w:rPr>
          <w:rFonts w:ascii="楷体_GB2312" w:eastAsia="楷体_GB2312" w:hint="eastAsia"/>
          <w:color w:val="231F20"/>
          <w:sz w:val="32"/>
        </w:rPr>
        <w:t>年预算收支情况</w:t>
      </w:r>
    </w:p>
    <w:p>
      <w:pPr>
        <w:pStyle w:val="BodyText"/>
        <w:spacing w:before="101"/>
        <w:ind w:left="937"/>
      </w:pPr>
      <w:r>
        <w:rPr>
          <w:rFonts w:ascii="Times New Roman" w:eastAsia="Times New Roman"/>
          <w:b/>
          <w:color w:val="231F20"/>
        </w:rPr>
        <w:t>1</w:t>
      </w:r>
      <w:r>
        <w:rPr>
          <w:color w:val="231F20"/>
        </w:rPr>
        <w:t>、一般公共预算</w:t>
      </w:r>
    </w:p>
    <w:p>
      <w:pPr>
        <w:spacing w:after="0"/>
        <w:sectPr>
          <w:footerReference w:type="default" r:id="rId5"/>
          <w:type w:val="continuous"/>
          <w:pgSz w:w="11910" w:h="16840"/>
          <w:pgMar w:footer="1341" w:top="1580" w:bottom="1540" w:left="1260" w:right="126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5"/>
        <w:ind w:left="922"/>
        <w:jc w:val="both"/>
      </w:pPr>
      <w:r>
        <w:rPr>
          <w:color w:val="231F20"/>
        </w:rPr>
        <w:t>汇总市乡两级人代会批准的</w:t>
      </w:r>
      <w:r>
        <w:rPr>
          <w:rFonts w:ascii="Times New Roman" w:eastAsia="Times New Roman"/>
          <w:color w:val="231F20"/>
        </w:rPr>
        <w:t>2024 </w:t>
      </w:r>
      <w:r>
        <w:rPr>
          <w:color w:val="231F20"/>
        </w:rPr>
        <w:t>年一般公共预算收入合计</w:t>
      </w:r>
    </w:p>
    <w:p>
      <w:pPr>
        <w:pStyle w:val="BodyText"/>
        <w:spacing w:line="300" w:lineRule="auto" w:before="100"/>
        <w:ind w:left="270" w:right="268"/>
        <w:jc w:val="both"/>
      </w:pPr>
      <w:r>
        <w:rPr>
          <w:rFonts w:ascii="Times New Roman" w:hAnsi="Times New Roman" w:eastAsia="Times New Roman"/>
          <w:color w:val="231F20"/>
        </w:rPr>
        <w:t>285000</w:t>
      </w:r>
      <w:r>
        <w:rPr>
          <w:rFonts w:ascii="Times New Roman" w:hAnsi="Times New Roman" w:eastAsia="Times New Roman"/>
          <w:color w:val="231F20"/>
          <w:spacing w:val="-32"/>
        </w:rPr>
        <w:t> </w:t>
      </w:r>
      <w:r>
        <w:rPr>
          <w:color w:val="231F20"/>
          <w:spacing w:val="-11"/>
        </w:rPr>
        <w:t>万元，实际完成</w:t>
      </w:r>
      <w:r>
        <w:rPr>
          <w:rFonts w:ascii="Times New Roman" w:hAnsi="Times New Roman" w:eastAsia="Times New Roman"/>
          <w:color w:val="231F20"/>
        </w:rPr>
        <w:t>286501</w:t>
      </w:r>
      <w:r>
        <w:rPr>
          <w:rFonts w:ascii="Times New Roman" w:hAnsi="Times New Roman" w:eastAsia="Times New Roman"/>
          <w:color w:val="231F20"/>
          <w:spacing w:val="-32"/>
        </w:rPr>
        <w:t> </w:t>
      </w:r>
      <w:r>
        <w:rPr>
          <w:color w:val="231F20"/>
          <w:spacing w:val="-8"/>
        </w:rPr>
        <w:t>万元，为预算数的</w:t>
      </w:r>
      <w:r>
        <w:rPr>
          <w:rFonts w:ascii="Times New Roman" w:hAnsi="Times New Roman" w:eastAsia="Times New Roman"/>
          <w:color w:val="231F20"/>
        </w:rPr>
        <w:t>100.5</w:t>
      </w:r>
      <w:r>
        <w:rPr>
          <w:rFonts w:ascii="Times New Roman" w:hAnsi="Times New Roman" w:eastAsia="Times New Roman"/>
          <w:color w:val="231F20"/>
          <w:spacing w:val="8"/>
        </w:rPr>
        <w:t>%</w:t>
      </w:r>
      <w:r>
        <w:rPr>
          <w:color w:val="231F20"/>
          <w:spacing w:val="-35"/>
        </w:rPr>
        <w:t>，较上年</w:t>
      </w:r>
      <w:r>
        <w:rPr>
          <w:color w:val="231F20"/>
          <w:spacing w:val="3"/>
        </w:rPr>
        <w:t>增长</w:t>
      </w:r>
      <w:r>
        <w:rPr>
          <w:rFonts w:ascii="Times New Roman" w:hAnsi="Times New Roman" w:eastAsia="Times New Roman"/>
          <w:color w:val="231F20"/>
        </w:rPr>
        <w:t>8.6%</w:t>
      </w:r>
      <w:r>
        <w:rPr>
          <w:color w:val="231F20"/>
          <w:spacing w:val="4"/>
        </w:rPr>
        <w:t>。年初支出预算合计</w:t>
      </w:r>
      <w:r>
        <w:rPr>
          <w:rFonts w:ascii="Times New Roman" w:hAnsi="Times New Roman" w:eastAsia="Times New Roman"/>
          <w:color w:val="231F20"/>
        </w:rPr>
        <w:t>630518</w:t>
      </w:r>
      <w:r>
        <w:rPr>
          <w:rFonts w:ascii="Times New Roman" w:hAnsi="Times New Roman" w:eastAsia="Times New Roman"/>
          <w:color w:val="231F20"/>
          <w:spacing w:val="-12"/>
        </w:rPr>
        <w:t> </w:t>
      </w:r>
      <w:r>
        <w:rPr>
          <w:color w:val="231F20"/>
          <w:spacing w:val="-29"/>
        </w:rPr>
        <w:t>万元，执行中，受上级补助</w:t>
      </w:r>
      <w:r>
        <w:rPr>
          <w:color w:val="231F20"/>
          <w:spacing w:val="17"/>
        </w:rPr>
        <w:t>减少</w:t>
      </w:r>
      <w:r>
        <w:rPr>
          <w:color w:val="231F20"/>
          <w:spacing w:val="-309"/>
        </w:rPr>
        <w:t>、</w:t>
      </w:r>
      <w:r>
        <w:rPr>
          <w:color w:val="231F20"/>
          <w:spacing w:val="-8"/>
        </w:rPr>
        <w:t>“三保”支出管控等因素影响，支出预算调整为 </w:t>
      </w:r>
      <w:r>
        <w:rPr>
          <w:rFonts w:ascii="Times New Roman" w:hAnsi="Times New Roman" w:eastAsia="Times New Roman"/>
          <w:color w:val="231F20"/>
        </w:rPr>
        <w:t>603646</w:t>
      </w:r>
      <w:r>
        <w:rPr>
          <w:rFonts w:ascii="Times New Roman" w:hAnsi="Times New Roman" w:eastAsia="Times New Roman"/>
          <w:color w:val="231F20"/>
          <w:spacing w:val="-23"/>
        </w:rPr>
        <w:t> </w:t>
      </w:r>
      <w:r>
        <w:rPr>
          <w:color w:val="231F20"/>
        </w:rPr>
        <w:t>万</w:t>
      </w:r>
      <w:r>
        <w:rPr>
          <w:color w:val="231F20"/>
          <w:spacing w:val="-21"/>
        </w:rPr>
        <w:t>元，实际完成</w:t>
      </w:r>
      <w:r>
        <w:rPr>
          <w:rFonts w:ascii="Times New Roman" w:hAnsi="Times New Roman" w:eastAsia="Times New Roman"/>
          <w:color w:val="231F20"/>
        </w:rPr>
        <w:t>551828</w:t>
      </w:r>
      <w:r>
        <w:rPr>
          <w:rFonts w:ascii="Times New Roman" w:hAnsi="Times New Roman" w:eastAsia="Times New Roman"/>
          <w:color w:val="231F20"/>
          <w:spacing w:val="-40"/>
        </w:rPr>
        <w:t> </w:t>
      </w:r>
      <w:r>
        <w:rPr>
          <w:color w:val="231F20"/>
          <w:spacing w:val="-15"/>
        </w:rPr>
        <w:t>万元，为调整预算的</w:t>
      </w:r>
      <w:r>
        <w:rPr>
          <w:rFonts w:ascii="Times New Roman" w:hAnsi="Times New Roman" w:eastAsia="Times New Roman"/>
          <w:color w:val="231F20"/>
        </w:rPr>
        <w:t>91.4%</w:t>
      </w:r>
      <w:r>
        <w:rPr>
          <w:color w:val="231F20"/>
          <w:spacing w:val="-40"/>
        </w:rPr>
        <w:t>，下降</w:t>
      </w:r>
      <w:r>
        <w:rPr>
          <w:rFonts w:ascii="Times New Roman" w:hAnsi="Times New Roman" w:eastAsia="Times New Roman"/>
          <w:color w:val="231F20"/>
        </w:rPr>
        <w:t>10.5%</w:t>
      </w:r>
      <w:r>
        <w:rPr>
          <w:color w:val="231F20"/>
        </w:rPr>
        <w:t>。</w:t>
      </w:r>
    </w:p>
    <w:p>
      <w:pPr>
        <w:pStyle w:val="BodyText"/>
        <w:spacing w:line="402" w:lineRule="exact"/>
        <w:ind w:left="922"/>
        <w:jc w:val="both"/>
      </w:pPr>
      <w:r>
        <w:rPr>
          <w:color w:val="231F20"/>
        </w:rPr>
        <w:t>市十五届人大四次会议批准的</w:t>
      </w:r>
      <w:r>
        <w:rPr>
          <w:rFonts w:ascii="Times New Roman" w:eastAsia="Times New Roman"/>
          <w:color w:val="231F20"/>
        </w:rPr>
        <w:t>2024 </w:t>
      </w:r>
      <w:r>
        <w:rPr>
          <w:color w:val="231F20"/>
        </w:rPr>
        <w:t>年市级一般公共预算收</w:t>
      </w:r>
    </w:p>
    <w:p>
      <w:pPr>
        <w:pStyle w:val="BodyText"/>
        <w:spacing w:line="300" w:lineRule="auto" w:before="101"/>
        <w:ind w:left="270" w:right="268"/>
        <w:jc w:val="both"/>
      </w:pPr>
      <w:r>
        <w:rPr>
          <w:color w:val="231F20"/>
          <w:spacing w:val="25"/>
        </w:rPr>
        <w:t>入为</w:t>
      </w:r>
      <w:r>
        <w:rPr>
          <w:rFonts w:ascii="Times New Roman" w:eastAsia="Times New Roman"/>
          <w:color w:val="231F20"/>
        </w:rPr>
        <w:t>146076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-13"/>
        </w:rPr>
        <w:t>万元，实际完成</w:t>
      </w:r>
      <w:r>
        <w:rPr>
          <w:rFonts w:ascii="Times New Roman" w:eastAsia="Times New Roman"/>
          <w:color w:val="231F20"/>
        </w:rPr>
        <w:t>209934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-10"/>
        </w:rPr>
        <w:t>万元，为预算数的</w:t>
      </w:r>
      <w:r>
        <w:rPr>
          <w:rFonts w:ascii="Times New Roman" w:eastAsia="Times New Roman"/>
          <w:color w:val="231F20"/>
        </w:rPr>
        <w:t>143.7</w:t>
      </w:r>
      <w:r>
        <w:rPr>
          <w:rFonts w:ascii="Times New Roman" w:eastAsia="Times New Roman"/>
          <w:color w:val="231F20"/>
          <w:spacing w:val="6"/>
        </w:rPr>
        <w:t>%</w:t>
      </w:r>
      <w:r>
        <w:rPr>
          <w:color w:val="231F20"/>
          <w:spacing w:val="-77"/>
        </w:rPr>
        <w:t>，较</w:t>
      </w:r>
      <w:r>
        <w:rPr>
          <w:color w:val="231F20"/>
          <w:spacing w:val="-48"/>
        </w:rPr>
        <w:t>上年增长</w:t>
      </w:r>
      <w:r>
        <w:rPr>
          <w:rFonts w:ascii="Times New Roman" w:eastAsia="Times New Roman"/>
          <w:color w:val="231F20"/>
        </w:rPr>
        <w:t>33.9%</w:t>
      </w:r>
      <w:r>
        <w:rPr>
          <w:color w:val="231F20"/>
          <w:spacing w:val="5"/>
        </w:rPr>
        <w:t>。年初支出预算为</w:t>
      </w:r>
      <w:r>
        <w:rPr>
          <w:rFonts w:ascii="Times New Roman" w:eastAsia="Times New Roman"/>
          <w:color w:val="231F20"/>
        </w:rPr>
        <w:t>475649</w:t>
      </w:r>
      <w:r>
        <w:rPr>
          <w:rFonts w:ascii="Times New Roman" w:eastAsia="Times New Roman"/>
          <w:color w:val="231F20"/>
          <w:spacing w:val="-13"/>
        </w:rPr>
        <w:t> </w:t>
      </w:r>
      <w:r>
        <w:rPr>
          <w:color w:val="231F20"/>
          <w:spacing w:val="-18"/>
        </w:rPr>
        <w:t>万元，市十五届人大常</w:t>
      </w:r>
      <w:r>
        <w:rPr>
          <w:color w:val="231F20"/>
          <w:spacing w:val="12"/>
        </w:rPr>
        <w:t>委会第十九次会议批准调整为</w:t>
      </w:r>
      <w:r>
        <w:rPr>
          <w:rFonts w:ascii="Times New Roman" w:eastAsia="Times New Roman"/>
          <w:color w:val="231F20"/>
        </w:rPr>
        <w:t>448777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0"/>
        </w:rPr>
        <w:t>万元，实际完成</w:t>
      </w:r>
      <w:r>
        <w:rPr>
          <w:rFonts w:ascii="Times New Roman" w:eastAsia="Times New Roman"/>
          <w:color w:val="231F20"/>
        </w:rPr>
        <w:t>442935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1"/>
        </w:rPr>
        <w:t>万</w:t>
      </w:r>
      <w:r>
        <w:rPr>
          <w:color w:val="231F20"/>
          <w:spacing w:val="-16"/>
        </w:rPr>
        <w:t>元，为调整预算的</w:t>
      </w:r>
      <w:r>
        <w:rPr>
          <w:rFonts w:ascii="Times New Roman" w:eastAsia="Times New Roman"/>
          <w:color w:val="231F20"/>
        </w:rPr>
        <w:t>98.7%</w:t>
      </w:r>
      <w:r>
        <w:rPr>
          <w:color w:val="231F20"/>
          <w:spacing w:val="-40"/>
        </w:rPr>
        <w:t>，下降</w:t>
      </w:r>
      <w:r>
        <w:rPr>
          <w:rFonts w:ascii="Times New Roman" w:eastAsia="Times New Roman"/>
          <w:color w:val="231F20"/>
        </w:rPr>
        <w:t>10%</w:t>
      </w:r>
      <w:r>
        <w:rPr>
          <w:color w:val="231F20"/>
        </w:rPr>
        <w:t>。</w:t>
      </w:r>
    </w:p>
    <w:p>
      <w:pPr>
        <w:pStyle w:val="BodyText"/>
        <w:spacing w:line="402" w:lineRule="exact"/>
        <w:ind w:left="922"/>
      </w:pPr>
      <w:r>
        <w:rPr>
          <w:rFonts w:ascii="Times New Roman" w:eastAsia="Times New Roman"/>
          <w:b/>
          <w:color w:val="231F20"/>
        </w:rPr>
        <w:t>2</w:t>
      </w:r>
      <w:r>
        <w:rPr>
          <w:color w:val="231F20"/>
        </w:rPr>
        <w:t>、政府性基金预算</w:t>
      </w:r>
    </w:p>
    <w:p>
      <w:pPr>
        <w:pStyle w:val="BodyText"/>
        <w:spacing w:before="100"/>
        <w:ind w:left="922"/>
      </w:pPr>
      <w:r>
        <w:rPr>
          <w:color w:val="231F20"/>
        </w:rPr>
        <w:t>市十五届人大四次会议批准的</w:t>
      </w:r>
      <w:r>
        <w:rPr>
          <w:rFonts w:ascii="Times New Roman" w:eastAsia="Times New Roman"/>
          <w:color w:val="231F20"/>
        </w:rPr>
        <w:t>2024 </w:t>
      </w:r>
      <w:r>
        <w:rPr>
          <w:color w:val="231F20"/>
        </w:rPr>
        <w:t>年市级政府性基金预算</w:t>
      </w:r>
    </w:p>
    <w:p>
      <w:pPr>
        <w:pStyle w:val="BodyText"/>
        <w:spacing w:line="300" w:lineRule="auto" w:before="101"/>
        <w:ind w:left="270" w:right="217"/>
      </w:pPr>
      <w:r>
        <w:rPr>
          <w:color w:val="231F20"/>
          <w:spacing w:val="19"/>
        </w:rPr>
        <w:t>收入为</w:t>
      </w:r>
      <w:r>
        <w:rPr>
          <w:rFonts w:ascii="Times New Roman" w:eastAsia="Times New Roman"/>
          <w:color w:val="231F20"/>
        </w:rPr>
        <w:t>160925 </w:t>
      </w:r>
      <w:r>
        <w:rPr>
          <w:color w:val="231F20"/>
          <w:spacing w:val="-13"/>
        </w:rPr>
        <w:t>万元，实际完成</w:t>
      </w:r>
      <w:r>
        <w:rPr>
          <w:rFonts w:ascii="Times New Roman" w:eastAsia="Times New Roman"/>
          <w:color w:val="231F20"/>
        </w:rPr>
        <w:t>98474 </w:t>
      </w:r>
      <w:r>
        <w:rPr>
          <w:color w:val="231F20"/>
          <w:spacing w:val="-10"/>
        </w:rPr>
        <w:t>万元，为预算数的</w:t>
      </w:r>
      <w:r>
        <w:rPr>
          <w:rFonts w:ascii="Times New Roman" w:eastAsia="Times New Roman"/>
          <w:color w:val="231F20"/>
        </w:rPr>
        <w:t>61.2</w:t>
      </w:r>
      <w:r>
        <w:rPr>
          <w:rFonts w:ascii="Times New Roman" w:eastAsia="Times New Roman"/>
          <w:color w:val="231F20"/>
          <w:spacing w:val="6"/>
        </w:rPr>
        <w:t>%</w:t>
      </w:r>
      <w:r>
        <w:rPr>
          <w:color w:val="231F20"/>
          <w:spacing w:val="-83"/>
        </w:rPr>
        <w:t>，下</w:t>
      </w:r>
      <w:r>
        <w:rPr>
          <w:color w:val="231F20"/>
          <w:spacing w:val="40"/>
        </w:rPr>
        <w:t>降</w:t>
      </w:r>
      <w:r>
        <w:rPr>
          <w:rFonts w:ascii="Times New Roman" w:eastAsia="Times New Roman"/>
          <w:color w:val="231F20"/>
        </w:rPr>
        <w:t>47.5%</w:t>
      </w:r>
      <w:r>
        <w:rPr>
          <w:color w:val="231F20"/>
        </w:rPr>
        <w:t>。</w:t>
      </w:r>
    </w:p>
    <w:p>
      <w:pPr>
        <w:pStyle w:val="BodyText"/>
        <w:spacing w:line="406" w:lineRule="exact"/>
        <w:ind w:right="268"/>
        <w:jc w:val="right"/>
      </w:pPr>
      <w:r>
        <w:rPr>
          <w:color w:val="231F20"/>
          <w:spacing w:val="7"/>
        </w:rPr>
        <w:t>市十五届人大四次会议批准的</w:t>
      </w: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3"/>
        </w:rPr>
        <w:t>年市级政府性基金支出</w:t>
      </w:r>
    </w:p>
    <w:p>
      <w:pPr>
        <w:pStyle w:val="BodyText"/>
        <w:spacing w:before="100"/>
        <w:ind w:right="268"/>
        <w:jc w:val="right"/>
      </w:pPr>
      <w:r>
        <w:rPr>
          <w:color w:val="231F20"/>
          <w:spacing w:val="51"/>
        </w:rPr>
        <w:t>为</w:t>
      </w:r>
      <w:r>
        <w:rPr>
          <w:rFonts w:ascii="Times New Roman" w:eastAsia="Times New Roman"/>
          <w:color w:val="231F20"/>
        </w:rPr>
        <w:t>203965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3"/>
        </w:rPr>
        <w:t>万元，市十五届人大常委会第十九次会议批准调整为</w:t>
      </w:r>
    </w:p>
    <w:p>
      <w:pPr>
        <w:pStyle w:val="BodyText"/>
        <w:spacing w:before="101"/>
        <w:ind w:right="268"/>
        <w:jc w:val="right"/>
      </w:pPr>
      <w:r>
        <w:rPr>
          <w:rFonts w:ascii="Times New Roman" w:eastAsia="Times New Roman"/>
          <w:color w:val="231F20"/>
        </w:rPr>
        <w:t>422466</w:t>
      </w:r>
      <w:r>
        <w:rPr>
          <w:rFonts w:ascii="Times New Roman" w:eastAsia="Times New Roman"/>
          <w:color w:val="231F20"/>
          <w:spacing w:val="-24"/>
        </w:rPr>
        <w:t> </w:t>
      </w:r>
      <w:r>
        <w:rPr>
          <w:color w:val="231F20"/>
          <w:spacing w:val="-3"/>
        </w:rPr>
        <w:t>万元，实际完成</w:t>
      </w:r>
      <w:r>
        <w:rPr>
          <w:rFonts w:ascii="Times New Roman" w:eastAsia="Times New Roman"/>
          <w:color w:val="231F20"/>
        </w:rPr>
        <w:t>217800</w:t>
      </w:r>
      <w:r>
        <w:rPr>
          <w:rFonts w:ascii="Times New Roman" w:eastAsia="Times New Roman"/>
          <w:color w:val="231F20"/>
          <w:spacing w:val="-24"/>
        </w:rPr>
        <w:t> </w:t>
      </w:r>
      <w:r>
        <w:rPr>
          <w:color w:val="231F20"/>
          <w:spacing w:val="1"/>
        </w:rPr>
        <w:t>万元，为调整预算的</w:t>
      </w:r>
      <w:r>
        <w:rPr>
          <w:rFonts w:ascii="Times New Roman" w:eastAsia="Times New Roman"/>
          <w:color w:val="231F20"/>
        </w:rPr>
        <w:t>51.6</w:t>
      </w:r>
      <w:r>
        <w:rPr>
          <w:rFonts w:ascii="Times New Roman" w:eastAsia="Times New Roman"/>
          <w:color w:val="231F20"/>
          <w:spacing w:val="16"/>
        </w:rPr>
        <w:t>%</w:t>
      </w:r>
      <w:r>
        <w:rPr>
          <w:color w:val="231F20"/>
          <w:spacing w:val="-43"/>
        </w:rPr>
        <w:t>，增长</w:t>
      </w:r>
    </w:p>
    <w:p>
      <w:pPr>
        <w:pStyle w:val="BodyText"/>
        <w:spacing w:before="100"/>
        <w:ind w:left="270"/>
      </w:pPr>
      <w:r>
        <w:rPr>
          <w:rFonts w:ascii="Times New Roman" w:eastAsia="Times New Roman"/>
          <w:color w:val="231F20"/>
        </w:rPr>
        <w:t>66.4%</w:t>
      </w:r>
      <w:r>
        <w:rPr>
          <w:color w:val="231F20"/>
        </w:rPr>
        <w:t>。</w:t>
      </w:r>
    </w:p>
    <w:p>
      <w:pPr>
        <w:pStyle w:val="BodyText"/>
        <w:spacing w:before="101"/>
        <w:ind w:left="922"/>
      </w:pPr>
      <w:r>
        <w:rPr>
          <w:rFonts w:ascii="Times New Roman" w:eastAsia="Times New Roman"/>
          <w:b/>
          <w:color w:val="231F20"/>
        </w:rPr>
        <w:t>3</w:t>
      </w:r>
      <w:r>
        <w:rPr>
          <w:color w:val="231F20"/>
        </w:rPr>
        <w:t>、国有资本经营预算</w:t>
      </w:r>
    </w:p>
    <w:p>
      <w:pPr>
        <w:pStyle w:val="BodyText"/>
        <w:spacing w:before="100"/>
        <w:ind w:left="922"/>
      </w:pPr>
      <w:r>
        <w:rPr>
          <w:color w:val="231F20"/>
          <w:spacing w:val="7"/>
        </w:rPr>
        <w:t>市十五届人大四次会议批准的</w:t>
      </w: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3"/>
        </w:rPr>
        <w:t>年国有资本经营预算收</w:t>
      </w:r>
    </w:p>
    <w:p>
      <w:pPr>
        <w:pStyle w:val="BodyText"/>
        <w:spacing w:before="101"/>
        <w:ind w:left="270"/>
      </w:pPr>
      <w:r>
        <w:rPr>
          <w:color w:val="231F20"/>
          <w:spacing w:val="24"/>
        </w:rPr>
        <w:t>入为</w:t>
      </w:r>
      <w:r>
        <w:rPr>
          <w:rFonts w:ascii="Times New Roman" w:eastAsia="Times New Roman"/>
          <w:color w:val="231F20"/>
        </w:rPr>
        <w:t>69716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22"/>
        </w:rPr>
        <w:t>万元，执行中，由于收入变化情况，市十五届人大常委</w:t>
      </w:r>
    </w:p>
    <w:p>
      <w:pPr>
        <w:pStyle w:val="BodyText"/>
        <w:spacing w:line="300" w:lineRule="auto" w:before="100"/>
        <w:ind w:left="270" w:right="219"/>
      </w:pPr>
      <w:r>
        <w:rPr>
          <w:color w:val="231F20"/>
          <w:spacing w:val="3"/>
        </w:rPr>
        <w:t>会第十九次会议批准调整为</w:t>
      </w:r>
      <w:r>
        <w:rPr>
          <w:rFonts w:ascii="Times New Roman" w:eastAsia="Times New Roman"/>
          <w:color w:val="231F20"/>
        </w:rPr>
        <w:t>64350 </w:t>
      </w:r>
      <w:r>
        <w:rPr>
          <w:color w:val="231F20"/>
          <w:spacing w:val="-18"/>
        </w:rPr>
        <w:t>万元，实际完成</w:t>
      </w:r>
      <w:r>
        <w:rPr>
          <w:rFonts w:ascii="Times New Roman" w:eastAsia="Times New Roman"/>
          <w:color w:val="231F20"/>
        </w:rPr>
        <w:t>58677 </w:t>
      </w:r>
      <w:r>
        <w:rPr>
          <w:color w:val="231F20"/>
          <w:spacing w:val="-40"/>
        </w:rPr>
        <w:t>万元，为</w:t>
      </w:r>
      <w:r>
        <w:rPr>
          <w:color w:val="231F20"/>
          <w:spacing w:val="-24"/>
        </w:rPr>
        <w:t>调整预算的</w:t>
      </w:r>
      <w:r>
        <w:rPr>
          <w:rFonts w:ascii="Times New Roman" w:eastAsia="Times New Roman"/>
          <w:color w:val="231F20"/>
        </w:rPr>
        <w:t>91.2%</w:t>
      </w:r>
      <w:r>
        <w:rPr>
          <w:color w:val="231F20"/>
          <w:spacing w:val="-40"/>
        </w:rPr>
        <w:t>，下降</w:t>
      </w:r>
      <w:r>
        <w:rPr>
          <w:rFonts w:ascii="Times New Roman" w:eastAsia="Times New Roman"/>
          <w:color w:val="231F20"/>
        </w:rPr>
        <w:t>52.8%</w:t>
      </w:r>
      <w:r>
        <w:rPr>
          <w:color w:val="231F20"/>
        </w:rPr>
        <w:t>。</w:t>
      </w:r>
    </w:p>
    <w:p>
      <w:pPr>
        <w:pStyle w:val="BodyText"/>
        <w:spacing w:line="406" w:lineRule="exact"/>
        <w:ind w:left="922"/>
      </w:pPr>
      <w:r>
        <w:rPr>
          <w:color w:val="231F20"/>
        </w:rPr>
        <w:t>市十五届人大四次会议批准的</w:t>
      </w:r>
      <w:r>
        <w:rPr>
          <w:rFonts w:ascii="Times New Roman" w:eastAsia="Times New Roman"/>
          <w:color w:val="231F20"/>
        </w:rPr>
        <w:t>2024 </w:t>
      </w:r>
      <w:r>
        <w:rPr>
          <w:color w:val="231F20"/>
        </w:rPr>
        <w:t>年国有资本经营预算支</w:t>
      </w:r>
    </w:p>
    <w:p>
      <w:pPr>
        <w:spacing w:after="0" w:line="406" w:lineRule="exact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5"/>
        <w:ind w:left="270"/>
      </w:pPr>
      <w:r>
        <w:rPr>
          <w:color w:val="231F20"/>
        </w:rPr>
        <w:t>出为</w:t>
      </w:r>
      <w:r>
        <w:rPr>
          <w:rFonts w:ascii="Times New Roman" w:eastAsia="Times New Roman"/>
          <w:color w:val="231F20"/>
        </w:rPr>
        <w:t>9972 </w:t>
      </w:r>
      <w:r>
        <w:rPr>
          <w:color w:val="231F20"/>
        </w:rPr>
        <w:t>万元，执行中，由于支出变化情况，市十五届人大常委</w:t>
      </w:r>
    </w:p>
    <w:p>
      <w:pPr>
        <w:pStyle w:val="BodyText"/>
        <w:spacing w:line="300" w:lineRule="auto" w:before="100"/>
        <w:ind w:left="270" w:right="219"/>
      </w:pPr>
      <w:r>
        <w:rPr>
          <w:color w:val="231F20"/>
          <w:spacing w:val="3"/>
        </w:rPr>
        <w:t>会第十九次会议批准调整为</w:t>
      </w:r>
      <w:r>
        <w:rPr>
          <w:rFonts w:ascii="Times New Roman" w:eastAsia="Times New Roman"/>
          <w:color w:val="231F20"/>
        </w:rPr>
        <w:t>24406 </w:t>
      </w:r>
      <w:r>
        <w:rPr>
          <w:color w:val="231F20"/>
          <w:spacing w:val="-18"/>
        </w:rPr>
        <w:t>万元，实际完成</w:t>
      </w:r>
      <w:r>
        <w:rPr>
          <w:rFonts w:ascii="Times New Roman" w:eastAsia="Times New Roman"/>
          <w:color w:val="231F20"/>
        </w:rPr>
        <w:t>24150 </w:t>
      </w:r>
      <w:r>
        <w:rPr>
          <w:color w:val="231F20"/>
          <w:spacing w:val="-40"/>
        </w:rPr>
        <w:t>万元，为</w:t>
      </w:r>
      <w:r>
        <w:rPr>
          <w:color w:val="231F20"/>
          <w:spacing w:val="-24"/>
        </w:rPr>
        <w:t>调整预算的</w:t>
      </w:r>
      <w:r>
        <w:rPr>
          <w:rFonts w:ascii="Times New Roman" w:eastAsia="Times New Roman"/>
          <w:color w:val="231F20"/>
        </w:rPr>
        <w:t>99%</w:t>
      </w:r>
      <w:r>
        <w:rPr>
          <w:color w:val="231F20"/>
          <w:spacing w:val="-40"/>
        </w:rPr>
        <w:t>，增长</w:t>
      </w:r>
      <w:r>
        <w:rPr>
          <w:rFonts w:ascii="Times New Roman" w:eastAsia="Times New Roman"/>
          <w:color w:val="231F20"/>
        </w:rPr>
        <w:t>42.5%</w:t>
      </w:r>
      <w:r>
        <w:rPr>
          <w:color w:val="231F20"/>
        </w:rPr>
        <w:t>。</w:t>
      </w:r>
    </w:p>
    <w:p>
      <w:pPr>
        <w:pStyle w:val="BodyText"/>
        <w:spacing w:line="406" w:lineRule="exact"/>
        <w:ind w:left="922"/>
      </w:pPr>
      <w:r>
        <w:rPr>
          <w:rFonts w:ascii="Times New Roman" w:eastAsia="Times New Roman"/>
          <w:b/>
          <w:color w:val="231F20"/>
        </w:rPr>
        <w:t>4</w:t>
      </w:r>
      <w:r>
        <w:rPr>
          <w:color w:val="231F20"/>
        </w:rPr>
        <w:t>、社会保险基金预算</w:t>
      </w:r>
    </w:p>
    <w:p>
      <w:pPr>
        <w:pStyle w:val="BodyText"/>
        <w:spacing w:before="101"/>
        <w:ind w:right="268"/>
        <w:jc w:val="right"/>
      </w:pPr>
      <w:r>
        <w:rPr>
          <w:color w:val="231F20"/>
          <w:spacing w:val="7"/>
        </w:rPr>
        <w:t>市十五届人大四次会议批准的</w:t>
      </w: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3"/>
        </w:rPr>
        <w:t>年社会保险基金预算收</w:t>
      </w:r>
    </w:p>
    <w:p>
      <w:pPr>
        <w:pStyle w:val="BodyText"/>
        <w:spacing w:before="100"/>
        <w:ind w:right="268"/>
        <w:jc w:val="right"/>
      </w:pPr>
      <w:r>
        <w:rPr>
          <w:color w:val="231F20"/>
          <w:spacing w:val="-29"/>
        </w:rPr>
        <w:t>入为 </w:t>
      </w:r>
      <w:r>
        <w:rPr>
          <w:rFonts w:ascii="Times New Roman" w:eastAsia="Times New Roman"/>
          <w:color w:val="231F20"/>
        </w:rPr>
        <w:t>72950</w:t>
      </w:r>
      <w:r>
        <w:rPr>
          <w:rFonts w:ascii="Times New Roman" w:eastAsia="Times New Roman"/>
          <w:color w:val="231F20"/>
          <w:spacing w:val="-23"/>
        </w:rPr>
        <w:t> </w:t>
      </w:r>
      <w:r>
        <w:rPr>
          <w:color w:val="231F20"/>
          <w:spacing w:val="-22"/>
        </w:rPr>
        <w:t>万元，实际完成 </w:t>
      </w:r>
      <w:r>
        <w:rPr>
          <w:rFonts w:ascii="Times New Roman" w:eastAsia="Times New Roman"/>
          <w:color w:val="231F20"/>
        </w:rPr>
        <w:t>75171</w:t>
      </w:r>
      <w:r>
        <w:rPr>
          <w:rFonts w:ascii="Times New Roman" w:eastAsia="Times New Roman"/>
          <w:color w:val="231F20"/>
          <w:spacing w:val="-23"/>
        </w:rPr>
        <w:t> </w:t>
      </w:r>
      <w:r>
        <w:rPr>
          <w:color w:val="231F20"/>
          <w:spacing w:val="-18"/>
        </w:rPr>
        <w:t>万元，为预算数的 </w:t>
      </w:r>
      <w:r>
        <w:rPr>
          <w:rFonts w:ascii="Times New Roman" w:eastAsia="Times New Roman"/>
          <w:color w:val="231F20"/>
        </w:rPr>
        <w:t>103</w:t>
      </w:r>
      <w:r>
        <w:rPr>
          <w:rFonts w:ascii="Times New Roman" w:eastAsia="Times New Roman"/>
          <w:color w:val="231F20"/>
          <w:spacing w:val="17"/>
        </w:rPr>
        <w:t>%</w:t>
      </w:r>
      <w:r>
        <w:rPr>
          <w:color w:val="231F20"/>
          <w:spacing w:val="-42"/>
        </w:rPr>
        <w:t>，增长</w:t>
      </w:r>
    </w:p>
    <w:p>
      <w:pPr>
        <w:pStyle w:val="BodyText"/>
        <w:spacing w:before="101"/>
        <w:ind w:right="268"/>
        <w:jc w:val="right"/>
      </w:pPr>
      <w:r>
        <w:rPr>
          <w:rFonts w:ascii="Times New Roman" w:eastAsia="Times New Roman"/>
          <w:color w:val="231F20"/>
        </w:rPr>
        <w:t>9.2</w:t>
      </w:r>
      <w:r>
        <w:rPr>
          <w:rFonts w:ascii="Times New Roman" w:eastAsia="Times New Roman"/>
          <w:color w:val="231F20"/>
          <w:spacing w:val="25"/>
        </w:rPr>
        <w:t>%</w:t>
      </w:r>
      <w:r>
        <w:rPr>
          <w:color w:val="231F20"/>
          <w:spacing w:val="3"/>
        </w:rPr>
        <w:t>；批准的社会保险基金预算支出为 </w:t>
      </w:r>
      <w:r>
        <w:rPr>
          <w:rFonts w:ascii="Times New Roman" w:eastAsia="Times New Roman"/>
          <w:color w:val="231F20"/>
        </w:rPr>
        <w:t>72094</w:t>
      </w:r>
      <w:r>
        <w:rPr>
          <w:rFonts w:ascii="Times New Roman" w:eastAsia="Times New Roman"/>
          <w:color w:val="231F20"/>
          <w:spacing w:val="-15"/>
        </w:rPr>
        <w:t> </w:t>
      </w:r>
      <w:r>
        <w:rPr>
          <w:color w:val="231F20"/>
          <w:spacing w:val="-3"/>
        </w:rPr>
        <w:t>万元，实际完成</w:t>
      </w:r>
    </w:p>
    <w:p>
      <w:pPr>
        <w:pStyle w:val="BodyText"/>
        <w:spacing w:before="100"/>
        <w:ind w:left="270"/>
      </w:pPr>
      <w:r>
        <w:rPr>
          <w:rFonts w:ascii="Times New Roman" w:eastAsia="Times New Roman"/>
          <w:color w:val="231F20"/>
        </w:rPr>
        <w:t>71860</w:t>
      </w:r>
      <w:r>
        <w:rPr>
          <w:rFonts w:ascii="Times New Roman" w:eastAsia="Times New Roman"/>
          <w:color w:val="231F20"/>
          <w:spacing w:val="-40"/>
        </w:rPr>
        <w:t> </w:t>
      </w:r>
      <w:r>
        <w:rPr>
          <w:color w:val="231F20"/>
          <w:spacing w:val="-15"/>
        </w:rPr>
        <w:t>万元，为调整预算的</w:t>
      </w:r>
      <w:r>
        <w:rPr>
          <w:rFonts w:ascii="Times New Roman" w:eastAsia="Times New Roman"/>
          <w:color w:val="231F20"/>
        </w:rPr>
        <w:t>99.7%</w:t>
      </w:r>
      <w:r>
        <w:rPr>
          <w:color w:val="231F20"/>
          <w:spacing w:val="-40"/>
        </w:rPr>
        <w:t>，增长</w:t>
      </w:r>
      <w:r>
        <w:rPr>
          <w:rFonts w:ascii="Times New Roman" w:eastAsia="Times New Roman"/>
          <w:color w:val="231F20"/>
        </w:rPr>
        <w:t>10.1%</w:t>
      </w:r>
      <w:r>
        <w:rPr>
          <w:color w:val="231F20"/>
        </w:rPr>
        <w:t>。</w:t>
      </w:r>
    </w:p>
    <w:p>
      <w:pPr>
        <w:pStyle w:val="BodyText"/>
        <w:spacing w:before="101"/>
        <w:ind w:left="807"/>
        <w:rPr>
          <w:rFonts w:ascii="楷体_GB2312" w:eastAsia="楷体_GB2312" w:hint="eastAsia"/>
        </w:rPr>
      </w:pPr>
      <w:r>
        <w:rPr>
          <w:rFonts w:ascii="楷体_GB2312" w:eastAsia="楷体_GB2312" w:hint="eastAsia"/>
          <w:color w:val="231F20"/>
          <w:spacing w:val="-45"/>
        </w:rPr>
        <w:t>（</w:t>
      </w:r>
      <w:r>
        <w:rPr>
          <w:rFonts w:ascii="楷体_GB2312" w:eastAsia="楷体_GB2312" w:hint="eastAsia"/>
          <w:color w:val="231F20"/>
          <w:spacing w:val="-44"/>
        </w:rPr>
        <w:t>二</w:t>
      </w:r>
      <w:r>
        <w:rPr>
          <w:rFonts w:ascii="楷体_GB2312" w:eastAsia="楷体_GB2312" w:hint="eastAsia"/>
          <w:color w:val="231F20"/>
          <w:spacing w:val="-117"/>
        </w:rPr>
        <w:t>）</w:t>
      </w:r>
      <w:r>
        <w:rPr>
          <w:rFonts w:ascii="楷体_GB2312" w:eastAsia="楷体_GB2312" w:hint="eastAsia"/>
          <w:color w:val="231F20"/>
        </w:rPr>
        <w:t>政府债务情况</w:t>
      </w:r>
    </w:p>
    <w:p>
      <w:pPr>
        <w:pStyle w:val="BodyText"/>
        <w:spacing w:before="100"/>
        <w:ind w:left="922"/>
        <w:rPr>
          <w:rFonts w:ascii="Times New Roman" w:eastAsia="Times New Roman"/>
        </w:rPr>
      </w:pPr>
      <w:r>
        <w:rPr>
          <w:rFonts w:ascii="Times New Roman" w:eastAsia="Times New Roman"/>
          <w:color w:val="231F20"/>
        </w:rPr>
        <w:t>2024 </w:t>
      </w:r>
      <w:r>
        <w:rPr>
          <w:color w:val="231F20"/>
        </w:rPr>
        <w:t>年上级财政核定我市政府债务限额</w:t>
      </w:r>
      <w:r>
        <w:rPr>
          <w:rFonts w:ascii="Times New Roman" w:eastAsia="Times New Roman"/>
          <w:color w:val="231F20"/>
        </w:rPr>
        <w:t>867113 </w:t>
      </w:r>
      <w:r>
        <w:rPr>
          <w:color w:val="231F20"/>
        </w:rPr>
        <w:t>万元，其中</w:t>
      </w:r>
      <w:r>
        <w:rPr>
          <w:rFonts w:ascii="Times New Roman" w:eastAsia="Times New Roman"/>
          <w:color w:val="231F20"/>
        </w:rPr>
        <w:t>:</w:t>
      </w:r>
    </w:p>
    <w:p>
      <w:pPr>
        <w:pStyle w:val="BodyText"/>
        <w:spacing w:before="101"/>
        <w:ind w:left="270"/>
      </w:pPr>
      <w:r>
        <w:rPr>
          <w:color w:val="231F20"/>
        </w:rPr>
        <w:t>一般债务</w:t>
      </w:r>
      <w:r>
        <w:rPr>
          <w:rFonts w:ascii="Times New Roman" w:eastAsia="Times New Roman"/>
          <w:color w:val="231F20"/>
        </w:rPr>
        <w:t>133508 </w:t>
      </w:r>
      <w:r>
        <w:rPr>
          <w:color w:val="231F20"/>
        </w:rPr>
        <w:t>万元，专项债务</w:t>
      </w:r>
      <w:r>
        <w:rPr>
          <w:rFonts w:ascii="Times New Roman" w:eastAsia="Times New Roman"/>
          <w:color w:val="231F20"/>
        </w:rPr>
        <w:t>733605 </w:t>
      </w:r>
      <w:r>
        <w:rPr>
          <w:color w:val="231F20"/>
        </w:rPr>
        <w:t>万元。</w:t>
      </w:r>
    </w:p>
    <w:p>
      <w:pPr>
        <w:pStyle w:val="BodyText"/>
        <w:spacing w:before="100"/>
        <w:ind w:right="268"/>
        <w:jc w:val="right"/>
      </w:pP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22"/>
        </w:rPr>
        <w:t> </w:t>
      </w:r>
      <w:r>
        <w:rPr>
          <w:color w:val="231F20"/>
          <w:spacing w:val="-4"/>
        </w:rPr>
        <w:t>年，上级财政转贷我市政府债务收入 </w:t>
      </w:r>
      <w:r>
        <w:rPr>
          <w:rFonts w:ascii="Times New Roman" w:eastAsia="Times New Roman"/>
          <w:color w:val="231F20"/>
        </w:rPr>
        <w:t>289758</w:t>
      </w:r>
      <w:r>
        <w:rPr>
          <w:rFonts w:ascii="Times New Roman" w:eastAsia="Times New Roman"/>
          <w:color w:val="231F20"/>
          <w:spacing w:val="-22"/>
        </w:rPr>
        <w:t> </w:t>
      </w:r>
      <w:r>
        <w:rPr>
          <w:color w:val="231F20"/>
          <w:spacing w:val="-27"/>
        </w:rPr>
        <w:t>万元，其</w:t>
      </w:r>
    </w:p>
    <w:p>
      <w:pPr>
        <w:pStyle w:val="BodyText"/>
        <w:spacing w:before="101"/>
        <w:ind w:right="268"/>
        <w:jc w:val="right"/>
      </w:pPr>
      <w:r>
        <w:rPr>
          <w:color w:val="231F20"/>
          <w:spacing w:val="-21"/>
        </w:rPr>
        <w:t>中：一般债券</w:t>
      </w:r>
      <w:r>
        <w:rPr>
          <w:rFonts w:ascii="Times New Roman" w:eastAsia="Times New Roman"/>
          <w:color w:val="231F20"/>
        </w:rPr>
        <w:t>3100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8"/>
        </w:rPr>
        <w:t>万元，专项债券</w:t>
      </w:r>
      <w:r>
        <w:rPr>
          <w:rFonts w:ascii="Times New Roman" w:eastAsia="Times New Roman"/>
          <w:color w:val="231F20"/>
        </w:rPr>
        <w:t>66600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7"/>
        </w:rPr>
        <w:t>万元，补充政府性基金财</w:t>
      </w:r>
    </w:p>
    <w:p>
      <w:pPr>
        <w:pStyle w:val="BodyText"/>
        <w:spacing w:before="100"/>
        <w:ind w:right="256"/>
        <w:jc w:val="right"/>
      </w:pPr>
      <w:r>
        <w:rPr>
          <w:color w:val="231F20"/>
          <w:spacing w:val="13"/>
        </w:rPr>
        <w:t>力债券</w:t>
      </w:r>
      <w:r>
        <w:rPr>
          <w:rFonts w:ascii="Times New Roman" w:eastAsia="Times New Roman"/>
          <w:color w:val="231F20"/>
          <w:spacing w:val="-4"/>
        </w:rPr>
        <w:t>111900</w:t>
      </w:r>
      <w:r>
        <w:rPr>
          <w:rFonts w:ascii="Times New Roman" w:eastAsia="Times New Roman"/>
          <w:color w:val="231F20"/>
          <w:spacing w:val="-40"/>
        </w:rPr>
        <w:t> </w:t>
      </w:r>
      <w:r>
        <w:rPr>
          <w:color w:val="231F20"/>
          <w:spacing w:val="-19"/>
        </w:rPr>
        <w:t>万元，置换债券</w:t>
      </w:r>
      <w:r>
        <w:rPr>
          <w:rFonts w:ascii="Times New Roman" w:eastAsia="Times New Roman"/>
          <w:color w:val="231F20"/>
        </w:rPr>
        <w:t>100000</w:t>
      </w:r>
      <w:r>
        <w:rPr>
          <w:rFonts w:ascii="Times New Roman" w:eastAsia="Times New Roman"/>
          <w:color w:val="231F20"/>
          <w:spacing w:val="-40"/>
        </w:rPr>
        <w:t> </w:t>
      </w:r>
      <w:r>
        <w:rPr>
          <w:color w:val="231F20"/>
          <w:spacing w:val="-19"/>
        </w:rPr>
        <w:t>万元，外债转贷</w:t>
      </w:r>
      <w:r>
        <w:rPr>
          <w:rFonts w:ascii="Times New Roman" w:eastAsia="Times New Roman"/>
          <w:color w:val="231F20"/>
        </w:rPr>
        <w:t>8158</w:t>
      </w:r>
      <w:r>
        <w:rPr>
          <w:rFonts w:ascii="Times New Roman" w:eastAsia="Times New Roman"/>
          <w:color w:val="231F20"/>
          <w:spacing w:val="-40"/>
        </w:rPr>
        <w:t> </w:t>
      </w:r>
      <w:r>
        <w:rPr>
          <w:color w:val="231F20"/>
        </w:rPr>
        <w:t>万元。</w:t>
      </w:r>
    </w:p>
    <w:p>
      <w:pPr>
        <w:pStyle w:val="BodyText"/>
        <w:spacing w:before="101"/>
        <w:ind w:right="268"/>
        <w:jc w:val="right"/>
      </w:pPr>
      <w:r>
        <w:rPr>
          <w:color w:val="231F20"/>
          <w:spacing w:val="17"/>
        </w:rPr>
        <w:t>新增一般债券</w:t>
      </w:r>
      <w:r>
        <w:rPr>
          <w:rFonts w:ascii="Times New Roman" w:eastAsia="Times New Roman"/>
          <w:color w:val="231F20"/>
        </w:rPr>
        <w:t>3100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3"/>
        </w:rPr>
        <w:t>万元，用于寺河孟家河竹园沟水库工程</w:t>
      </w:r>
    </w:p>
    <w:p>
      <w:pPr>
        <w:pStyle w:val="BodyText"/>
        <w:spacing w:before="100"/>
        <w:ind w:right="268"/>
        <w:jc w:val="right"/>
      </w:pPr>
      <w:r>
        <w:rPr>
          <w:color w:val="231F20"/>
          <w:spacing w:val="6"/>
        </w:rPr>
        <w:t>项目和火石崖水库项目。新增专项债券</w:t>
      </w:r>
      <w:r>
        <w:rPr>
          <w:rFonts w:ascii="Times New Roman" w:eastAsia="Times New Roman"/>
          <w:color w:val="231F20"/>
        </w:rPr>
        <w:t>66600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18"/>
        </w:rPr>
        <w:t>万元，用于表面处</w:t>
      </w:r>
    </w:p>
    <w:p>
      <w:pPr>
        <w:pStyle w:val="BodyText"/>
        <w:spacing w:before="101"/>
        <w:ind w:right="268"/>
        <w:jc w:val="right"/>
      </w:pPr>
      <w:r>
        <w:rPr>
          <w:color w:val="231F20"/>
          <w:spacing w:val="7"/>
        </w:rPr>
        <w:t>理循环经济产业园一期建设等</w:t>
      </w:r>
      <w:r>
        <w:rPr>
          <w:rFonts w:ascii="Times New Roman" w:eastAsia="Times New Roman"/>
          <w:color w:val="231F20"/>
        </w:rPr>
        <w:t>19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3"/>
        </w:rPr>
        <w:t>个项目。新增补充政府性基金</w:t>
      </w:r>
    </w:p>
    <w:p>
      <w:pPr>
        <w:pStyle w:val="BodyText"/>
        <w:spacing w:before="100"/>
        <w:ind w:right="268"/>
        <w:jc w:val="right"/>
      </w:pPr>
      <w:r>
        <w:rPr>
          <w:color w:val="231F20"/>
          <w:spacing w:val="18"/>
        </w:rPr>
        <w:t>财力债券项目</w:t>
      </w:r>
      <w:r>
        <w:rPr>
          <w:rFonts w:ascii="Times New Roman" w:eastAsia="Times New Roman"/>
          <w:color w:val="231F20"/>
          <w:spacing w:val="-4"/>
        </w:rPr>
        <w:t>111900</w:t>
      </w:r>
      <w:r>
        <w:rPr>
          <w:rFonts w:ascii="Times New Roman" w:eastAsia="Times New Roman"/>
          <w:color w:val="231F20"/>
          <w:spacing w:val="-28"/>
        </w:rPr>
        <w:t> </w:t>
      </w:r>
      <w:r>
        <w:rPr>
          <w:color w:val="231F20"/>
          <w:spacing w:val="-2"/>
        </w:rPr>
        <w:t>万元，用于偿还政府拖欠企业账款。新增</w:t>
      </w:r>
    </w:p>
    <w:p>
      <w:pPr>
        <w:pStyle w:val="BodyText"/>
        <w:spacing w:before="101"/>
        <w:ind w:right="268"/>
        <w:jc w:val="right"/>
      </w:pPr>
      <w:r>
        <w:rPr>
          <w:color w:val="231F20"/>
          <w:spacing w:val="10"/>
        </w:rPr>
        <w:t>置换债券项目</w:t>
      </w:r>
      <w:r>
        <w:rPr>
          <w:rFonts w:ascii="Times New Roman" w:eastAsia="Times New Roman"/>
          <w:color w:val="231F20"/>
        </w:rPr>
        <w:t>100000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18"/>
        </w:rPr>
        <w:t>万元，用于偿还政府隐性债务，新增政府外</w:t>
      </w:r>
    </w:p>
    <w:p>
      <w:pPr>
        <w:pStyle w:val="BodyText"/>
        <w:spacing w:line="300" w:lineRule="auto" w:before="100"/>
        <w:ind w:left="270" w:right="268"/>
      </w:pPr>
      <w:r>
        <w:rPr>
          <w:color w:val="231F20"/>
          <w:spacing w:val="51"/>
        </w:rPr>
        <w:t>债</w:t>
      </w:r>
      <w:r>
        <w:rPr>
          <w:rFonts w:ascii="Times New Roman" w:eastAsia="Times New Roman"/>
          <w:color w:val="231F20"/>
        </w:rPr>
        <w:t>8158 </w:t>
      </w:r>
      <w:r>
        <w:rPr>
          <w:color w:val="231F20"/>
          <w:spacing w:val="-3"/>
        </w:rPr>
        <w:t>万元，用于黄河流域生态保护修复和环境污染治理示范</w:t>
      </w:r>
      <w:r>
        <w:rPr>
          <w:color w:val="231F20"/>
          <w:spacing w:val="-60"/>
        </w:rPr>
        <w:t>项目</w:t>
      </w:r>
      <w:r>
        <w:rPr>
          <w:color w:val="231F20"/>
          <w:spacing w:val="-45"/>
        </w:rPr>
        <w:t>（</w:t>
      </w:r>
      <w:r>
        <w:rPr>
          <w:color w:val="231F20"/>
          <w:spacing w:val="-22"/>
        </w:rPr>
        <w:t>一期</w:t>
      </w:r>
      <w:r>
        <w:rPr>
          <w:color w:val="231F20"/>
          <w:spacing w:val="-117"/>
        </w:rPr>
        <w:t>）</w:t>
      </w:r>
      <w:r>
        <w:rPr>
          <w:color w:val="231F20"/>
        </w:rPr>
        <w:t>。</w:t>
      </w:r>
    </w:p>
    <w:p>
      <w:pPr>
        <w:pStyle w:val="BodyText"/>
        <w:spacing w:line="406" w:lineRule="exact"/>
        <w:ind w:right="268"/>
        <w:jc w:val="right"/>
      </w:pP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-6"/>
        </w:rPr>
        <w:t>年，我市一般债券还本付息支出</w:t>
      </w:r>
      <w:r>
        <w:rPr>
          <w:rFonts w:ascii="Times New Roman" w:eastAsia="Times New Roman"/>
          <w:color w:val="231F20"/>
        </w:rPr>
        <w:t>4270.35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-42"/>
        </w:rPr>
        <w:t>万元，其中：一</w:t>
      </w:r>
    </w:p>
    <w:p>
      <w:pPr>
        <w:pStyle w:val="BodyText"/>
        <w:spacing w:before="101"/>
        <w:ind w:right="268"/>
        <w:jc w:val="right"/>
      </w:pPr>
      <w:r>
        <w:rPr>
          <w:color w:val="231F20"/>
          <w:spacing w:val="10"/>
        </w:rPr>
        <w:t>般债务还本支出</w:t>
      </w:r>
      <w:r>
        <w:rPr>
          <w:rFonts w:ascii="Times New Roman" w:eastAsia="Times New Roman"/>
          <w:color w:val="231F20"/>
        </w:rPr>
        <w:t>297</w:t>
      </w:r>
      <w:r>
        <w:rPr>
          <w:rFonts w:ascii="Times New Roman" w:eastAsia="Times New Roman"/>
          <w:color w:val="231F20"/>
          <w:spacing w:val="-35"/>
        </w:rPr>
        <w:t> </w:t>
      </w:r>
      <w:r>
        <w:rPr>
          <w:color w:val="231F20"/>
          <w:spacing w:val="-8"/>
        </w:rPr>
        <w:t>万元，一般债务付息支出</w:t>
      </w:r>
      <w:r>
        <w:rPr>
          <w:rFonts w:ascii="Times New Roman" w:eastAsia="Times New Roman"/>
          <w:color w:val="231F20"/>
        </w:rPr>
        <w:t>3973.47</w:t>
      </w:r>
      <w:r>
        <w:rPr>
          <w:rFonts w:ascii="Times New Roman" w:eastAsia="Times New Roman"/>
          <w:color w:val="231F20"/>
          <w:spacing w:val="-35"/>
        </w:rPr>
        <w:t> </w:t>
      </w:r>
      <w:r>
        <w:rPr>
          <w:color w:val="231F20"/>
          <w:spacing w:val="-29"/>
        </w:rPr>
        <w:t>万元；专项</w:t>
      </w:r>
    </w:p>
    <w:p>
      <w:pPr>
        <w:pStyle w:val="BodyText"/>
        <w:spacing w:before="100"/>
        <w:ind w:right="268"/>
        <w:jc w:val="right"/>
        <w:rPr>
          <w:rFonts w:ascii="Times New Roman" w:eastAsia="Times New Roman"/>
        </w:rPr>
      </w:pPr>
      <w:r>
        <w:rPr>
          <w:color w:val="231F20"/>
          <w:spacing w:val="12"/>
        </w:rPr>
        <w:t>债券还本付息支出</w:t>
      </w:r>
      <w:r>
        <w:rPr>
          <w:rFonts w:ascii="Times New Roman" w:eastAsia="Times New Roman"/>
          <w:color w:val="231F20"/>
        </w:rPr>
        <w:t>22419.62</w:t>
      </w:r>
      <w:r>
        <w:rPr>
          <w:rFonts w:ascii="Times New Roman" w:eastAsia="Times New Roman"/>
          <w:color w:val="231F20"/>
          <w:spacing w:val="-33"/>
        </w:rPr>
        <w:t> </w:t>
      </w:r>
      <w:r>
        <w:rPr>
          <w:color w:val="231F20"/>
          <w:spacing w:val="-17"/>
        </w:rPr>
        <w:t>万元，其中：专项债务还本支出</w:t>
      </w:r>
      <w:r>
        <w:rPr>
          <w:rFonts w:ascii="Times New Roman" w:eastAsia="Times New Roman"/>
          <w:color w:val="231F20"/>
        </w:rPr>
        <w:t>6386</w:t>
      </w:r>
    </w:p>
    <w:p>
      <w:pPr>
        <w:spacing w:after="0"/>
        <w:jc w:val="right"/>
        <w:rPr>
          <w:rFonts w:ascii="Times New Roman" w:eastAsia="Times New Roman"/>
        </w:rPr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18"/>
        </w:rPr>
      </w:pPr>
    </w:p>
    <w:p>
      <w:pPr>
        <w:pStyle w:val="BodyText"/>
        <w:spacing w:before="65"/>
        <w:ind w:left="270"/>
      </w:pPr>
      <w:r>
        <w:rPr>
          <w:color w:val="231F20"/>
        </w:rPr>
        <w:t>万元，付息支出</w:t>
      </w:r>
      <w:r>
        <w:rPr>
          <w:rFonts w:ascii="Times New Roman" w:eastAsia="Times New Roman"/>
          <w:color w:val="231F20"/>
        </w:rPr>
        <w:t>16033.62 </w:t>
      </w:r>
      <w:r>
        <w:rPr>
          <w:color w:val="231F20"/>
        </w:rPr>
        <w:t>万元；外债还本支出</w:t>
      </w:r>
      <w:r>
        <w:rPr>
          <w:rFonts w:ascii="Times New Roman" w:eastAsia="Times New Roman"/>
          <w:color w:val="231F20"/>
        </w:rPr>
        <w:t>115 </w:t>
      </w:r>
      <w:r>
        <w:rPr>
          <w:color w:val="231F20"/>
        </w:rPr>
        <w:t>万元。</w:t>
      </w:r>
    </w:p>
    <w:p>
      <w:pPr>
        <w:pStyle w:val="BodyText"/>
        <w:spacing w:before="101"/>
        <w:ind w:left="922"/>
      </w:pPr>
      <w:r>
        <w:rPr>
          <w:color w:val="231F20"/>
        </w:rPr>
        <w:t>截至</w:t>
      </w:r>
      <w:r>
        <w:rPr>
          <w:rFonts w:ascii="Times New Roman" w:eastAsia="Times New Roman"/>
          <w:color w:val="231F20"/>
        </w:rPr>
        <w:t>2024 </w:t>
      </w:r>
      <w:r>
        <w:rPr>
          <w:color w:val="231F20"/>
        </w:rPr>
        <w:t>年底，灵宝市政府性债务余额合计</w:t>
      </w:r>
      <w:r>
        <w:rPr>
          <w:rFonts w:ascii="Times New Roman" w:eastAsia="Times New Roman"/>
          <w:color w:val="231F20"/>
        </w:rPr>
        <w:t>857693.3 </w:t>
      </w:r>
      <w:r>
        <w:rPr>
          <w:color w:val="231F20"/>
        </w:rPr>
        <w:t>万元，</w:t>
      </w:r>
    </w:p>
    <w:p>
      <w:pPr>
        <w:pStyle w:val="BodyText"/>
        <w:spacing w:line="300" w:lineRule="auto" w:before="100"/>
        <w:ind w:left="270" w:right="268"/>
      </w:pPr>
      <w:r>
        <w:rPr>
          <w:color w:val="231F20"/>
        </w:rPr>
        <w:t>其中一般债务</w:t>
      </w:r>
      <w:r>
        <w:rPr>
          <w:rFonts w:ascii="Times New Roman" w:eastAsia="Times New Roman"/>
          <w:color w:val="231F20"/>
        </w:rPr>
        <w:t>133043 </w:t>
      </w:r>
      <w:r>
        <w:rPr>
          <w:color w:val="231F20"/>
        </w:rPr>
        <w:t>万元；专项债务</w:t>
      </w:r>
      <w:r>
        <w:rPr>
          <w:rFonts w:ascii="Times New Roman" w:eastAsia="Times New Roman"/>
          <w:color w:val="231F20"/>
        </w:rPr>
        <w:t>724650 </w:t>
      </w:r>
      <w:r>
        <w:rPr>
          <w:color w:val="231F20"/>
        </w:rPr>
        <w:t>万元。未超过上级财政确定的政府债务限额。</w:t>
      </w:r>
    </w:p>
    <w:p>
      <w:pPr>
        <w:pStyle w:val="BodyText"/>
        <w:spacing w:line="300" w:lineRule="auto"/>
        <w:ind w:left="270" w:right="268" w:firstLine="651"/>
      </w:pPr>
      <w:r>
        <w:rPr>
          <w:color w:val="231F20"/>
          <w:spacing w:val="-9"/>
        </w:rPr>
        <w:t>上述财政收支和政府债务数据为快报数，在省完成决算审查</w:t>
      </w:r>
      <w:r>
        <w:rPr>
          <w:color w:val="231F20"/>
          <w:spacing w:val="-17"/>
        </w:rPr>
        <w:t>批复后还会有所变动，决算结果届时报市人大常委会审批。</w:t>
      </w:r>
    </w:p>
    <w:p>
      <w:pPr>
        <w:pStyle w:val="BodyText"/>
        <w:spacing w:line="406" w:lineRule="exact"/>
        <w:ind w:left="922"/>
        <w:rPr>
          <w:rFonts w:ascii="黑体" w:eastAsia="黑体" w:hint="eastAsia"/>
        </w:rPr>
      </w:pPr>
      <w:r>
        <w:rPr>
          <w:rFonts w:ascii="黑体" w:eastAsia="黑体" w:hint="eastAsia"/>
          <w:color w:val="231F20"/>
        </w:rPr>
        <w:t>二、落实市人大决议和主要财政工作情况</w:t>
      </w:r>
    </w:p>
    <w:p>
      <w:pPr>
        <w:pStyle w:val="BodyText"/>
        <w:spacing w:line="300" w:lineRule="auto" w:before="96"/>
        <w:ind w:left="104" w:right="268" w:firstLine="817"/>
        <w:jc w:val="both"/>
      </w:pPr>
      <w:r>
        <w:rPr>
          <w:color w:val="231F20"/>
          <w:spacing w:val="-8"/>
        </w:rPr>
        <w:t>按照市十五届人大四次会议有关决议和意见，财政部门不断</w:t>
      </w:r>
      <w:r>
        <w:rPr>
          <w:color w:val="231F20"/>
          <w:spacing w:val="-27"/>
        </w:rPr>
        <w:t>强化组织收入措施，努力向上争取资金，科学统筹资金使用，压实</w:t>
      </w:r>
      <w:r>
        <w:rPr>
          <w:color w:val="231F20"/>
          <w:spacing w:val="-28"/>
        </w:rPr>
        <w:t>“三保”保障责任，加强开源节流，做好财政资金监管，为全市经济和社会发展提供了有效的财力保障。</w:t>
      </w:r>
    </w:p>
    <w:p>
      <w:pPr>
        <w:pStyle w:val="BodyText"/>
        <w:spacing w:line="300" w:lineRule="auto"/>
        <w:ind w:left="270" w:right="108" w:firstLine="536"/>
      </w:pPr>
      <w:r>
        <w:rPr>
          <w:rFonts w:ascii="楷体_GB2312" w:eastAsia="楷体_GB2312" w:hint="eastAsia"/>
          <w:color w:val="231F20"/>
          <w:spacing w:val="-44"/>
        </w:rPr>
        <w:t>（</w:t>
      </w:r>
      <w:r>
        <w:rPr>
          <w:rFonts w:ascii="楷体_GB2312" w:eastAsia="楷体_GB2312" w:hint="eastAsia"/>
          <w:color w:val="231F20"/>
          <w:spacing w:val="-43"/>
        </w:rPr>
        <w:t>一</w:t>
      </w:r>
      <w:r>
        <w:rPr>
          <w:rFonts w:ascii="楷体_GB2312" w:eastAsia="楷体_GB2312" w:hint="eastAsia"/>
          <w:color w:val="231F20"/>
          <w:spacing w:val="-116"/>
        </w:rPr>
        <w:t>）</w:t>
      </w:r>
      <w:r>
        <w:rPr>
          <w:rFonts w:ascii="楷体_GB2312" w:eastAsia="楷体_GB2312" w:hint="eastAsia"/>
          <w:color w:val="231F20"/>
          <w:spacing w:val="-13"/>
        </w:rPr>
        <w:t>以综合治税为抓手，税收征管措施再加强。</w:t>
      </w:r>
      <w:r>
        <w:rPr>
          <w:color w:val="231F20"/>
        </w:rPr>
        <w:t>一是科学分</w:t>
      </w:r>
      <w:r>
        <w:rPr>
          <w:color w:val="231F20"/>
          <w:spacing w:val="-13"/>
        </w:rPr>
        <w:t>解目标。在充分调研、广泛征求意见的基础上，科学分解目标任</w:t>
      </w:r>
      <w:r>
        <w:rPr>
          <w:color w:val="231F20"/>
          <w:spacing w:val="-25"/>
        </w:rPr>
        <w:t>务，层层传导压力，精准施策，确保应收尽收。二是积极做好灵宝</w:t>
      </w:r>
      <w:r>
        <w:rPr>
          <w:color w:val="231F20"/>
          <w:spacing w:val="-29"/>
        </w:rPr>
        <w:t>市矿产品企业服务工作。矿产品企业服务中心成立一年来，在注</w:t>
      </w:r>
      <w:r>
        <w:rPr>
          <w:color w:val="231F20"/>
          <w:spacing w:val="-22"/>
        </w:rPr>
        <w:t>册、备案、申报、银企对接等方面为企业提供全方位服务，逐步规</w:t>
      </w:r>
      <w:r>
        <w:rPr>
          <w:color w:val="231F20"/>
          <w:spacing w:val="-13"/>
        </w:rPr>
        <w:t>范矿产品企业贸易市场管理，吸引流失域外企业回流，为促进我</w:t>
      </w:r>
      <w:r>
        <w:rPr>
          <w:color w:val="231F20"/>
          <w:spacing w:val="-6"/>
        </w:rPr>
        <w:t>市矿产品贸易高质量发展，增加我市财政收入及工业生产总值， </w:t>
      </w:r>
      <w:r>
        <w:rPr>
          <w:color w:val="231F20"/>
          <w:spacing w:val="6"/>
        </w:rPr>
        <w:t>发挥了积极作用。三是矿山领域税收征管成效显著。在持续优</w:t>
      </w:r>
      <w:r>
        <w:rPr>
          <w:color w:val="231F20"/>
          <w:spacing w:val="-14"/>
        </w:rPr>
        <w:t>化站点布局、全面推进信息化建设的基础上，动态优化取样化验</w:t>
      </w:r>
      <w:r>
        <w:rPr>
          <w:color w:val="231F20"/>
          <w:spacing w:val="-21"/>
        </w:rPr>
        <w:t>制度，为车辆安装</w:t>
      </w:r>
      <w:r>
        <w:rPr>
          <w:rFonts w:ascii="Times New Roman" w:eastAsia="Times New Roman"/>
          <w:color w:val="231F20"/>
        </w:rPr>
        <w:t>BDS </w:t>
      </w:r>
      <w:r>
        <w:rPr>
          <w:color w:val="231F20"/>
          <w:spacing w:val="-21"/>
        </w:rPr>
        <w:t>系统，堵塞了监管漏洞，全年完成税收</w:t>
      </w:r>
      <w:r>
        <w:rPr>
          <w:rFonts w:ascii="Times New Roman" w:eastAsia="Times New Roman"/>
          <w:color w:val="231F20"/>
        </w:rPr>
        <w:t>1.66 </w:t>
      </w:r>
      <w:r>
        <w:rPr>
          <w:color w:val="231F20"/>
          <w:spacing w:val="-16"/>
        </w:rPr>
        <w:t>亿元，较上年增长</w:t>
      </w:r>
      <w:r>
        <w:rPr>
          <w:rFonts w:ascii="Times New Roman" w:eastAsia="Times New Roman"/>
          <w:color w:val="231F20"/>
        </w:rPr>
        <w:t>5%</w:t>
      </w:r>
      <w:r>
        <w:rPr>
          <w:color w:val="231F20"/>
        </w:rPr>
        <w:t>。</w:t>
      </w:r>
    </w:p>
    <w:p>
      <w:pPr>
        <w:pStyle w:val="BodyText"/>
        <w:spacing w:line="388" w:lineRule="exact"/>
        <w:ind w:left="806"/>
      </w:pPr>
      <w:r>
        <w:rPr>
          <w:rFonts w:ascii="楷体_GB2312" w:hAnsi="楷体_GB2312" w:eastAsia="楷体_GB2312" w:hint="eastAsia"/>
          <w:color w:val="231F20"/>
          <w:spacing w:val="-41"/>
        </w:rPr>
        <w:t>（</w:t>
      </w:r>
      <w:r>
        <w:rPr>
          <w:rFonts w:ascii="楷体_GB2312" w:hAnsi="楷体_GB2312" w:eastAsia="楷体_GB2312" w:hint="eastAsia"/>
          <w:color w:val="231F20"/>
          <w:spacing w:val="-40"/>
        </w:rPr>
        <w:t>二</w:t>
      </w:r>
      <w:r>
        <w:rPr>
          <w:rFonts w:ascii="楷体_GB2312" w:hAnsi="楷体_GB2312" w:eastAsia="楷体_GB2312" w:hint="eastAsia"/>
          <w:color w:val="231F20"/>
          <w:spacing w:val="-113"/>
        </w:rPr>
        <w:t>）</w:t>
      </w:r>
      <w:r>
        <w:rPr>
          <w:rFonts w:ascii="楷体_GB2312" w:hAnsi="楷体_GB2312" w:eastAsia="楷体_GB2312" w:hint="eastAsia"/>
          <w:color w:val="231F20"/>
          <w:spacing w:val="-30"/>
        </w:rPr>
        <w:t>提升政治站位，兜牢“三保”底线。</w:t>
      </w:r>
      <w:r>
        <w:rPr>
          <w:color w:val="231F20"/>
          <w:spacing w:val="-7"/>
        </w:rPr>
        <w:t>一是及时成立了“三</w:t>
      </w:r>
    </w:p>
    <w:p>
      <w:pPr>
        <w:pStyle w:val="BodyText"/>
        <w:spacing w:before="93"/>
        <w:ind w:left="270"/>
      </w:pPr>
      <w:r>
        <w:rPr>
          <w:color w:val="231F20"/>
          <w:spacing w:val="-21"/>
        </w:rPr>
        <w:t>保”保障工作领导小组和工作专班，统筹做好年度“三保”支出预</w:t>
      </w:r>
    </w:p>
    <w:p>
      <w:pPr>
        <w:spacing w:after="0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1" w:right="268"/>
        <w:jc w:val="both"/>
      </w:pPr>
      <w:r>
        <w:rPr>
          <w:color w:val="231F20"/>
          <w:spacing w:val="-25"/>
        </w:rPr>
        <w:t>算审核、编制、执行等工作。二是在年初预算编制中，依托预算一</w:t>
      </w:r>
      <w:r>
        <w:rPr>
          <w:color w:val="231F20"/>
          <w:spacing w:val="-27"/>
        </w:rPr>
        <w:t>体化管理系统，将“三保”支出作为政府预算和部门预算编制的第</w:t>
      </w:r>
      <w:r>
        <w:rPr>
          <w:color w:val="231F20"/>
          <w:spacing w:val="-12"/>
        </w:rPr>
        <w:t>一顺序，据实、足额编入预算。三是在预算执行中优先保障“三</w:t>
      </w:r>
      <w:r>
        <w:rPr>
          <w:color w:val="231F20"/>
          <w:spacing w:val="-19"/>
        </w:rPr>
        <w:t>保”支出，分项目明确支付节点</w:t>
      </w:r>
      <w:r>
        <w:rPr>
          <w:color w:val="231F20"/>
          <w:spacing w:val="-319"/>
        </w:rPr>
        <w:t>，</w:t>
      </w:r>
      <w:r>
        <w:rPr>
          <w:color w:val="231F20"/>
          <w:spacing w:val="-19"/>
        </w:rPr>
        <w:t>“三保”支出足额保障后，再根据</w:t>
      </w:r>
      <w:r>
        <w:rPr>
          <w:color w:val="231F20"/>
        </w:rPr>
        <w:t>财力情况安排其他项目支出。</w:t>
      </w:r>
    </w:p>
    <w:p>
      <w:pPr>
        <w:pStyle w:val="BodyText"/>
        <w:spacing w:line="300" w:lineRule="auto"/>
        <w:ind w:left="271" w:right="108" w:firstLine="536"/>
        <w:jc w:val="both"/>
      </w:pPr>
      <w:r>
        <w:rPr>
          <w:rFonts w:ascii="楷体_GB2312" w:eastAsia="楷体_GB2312" w:hint="eastAsia"/>
          <w:color w:val="231F20"/>
          <w:spacing w:val="-44"/>
        </w:rPr>
        <w:t>（</w:t>
      </w:r>
      <w:r>
        <w:rPr>
          <w:rFonts w:ascii="楷体_GB2312" w:eastAsia="楷体_GB2312" w:hint="eastAsia"/>
          <w:color w:val="231F20"/>
          <w:spacing w:val="-43"/>
        </w:rPr>
        <w:t>三</w:t>
      </w:r>
      <w:r>
        <w:rPr>
          <w:rFonts w:ascii="楷体_GB2312" w:eastAsia="楷体_GB2312" w:hint="eastAsia"/>
          <w:color w:val="231F20"/>
          <w:spacing w:val="-116"/>
        </w:rPr>
        <w:t>）</w:t>
      </w:r>
      <w:r>
        <w:rPr>
          <w:rFonts w:ascii="楷体_GB2312" w:eastAsia="楷体_GB2312" w:hint="eastAsia"/>
          <w:color w:val="231F20"/>
          <w:spacing w:val="-13"/>
        </w:rPr>
        <w:t>主动作为敢于担当，转型升级持续加力。</w:t>
      </w:r>
      <w:r>
        <w:rPr>
          <w:color w:val="231F20"/>
        </w:rPr>
        <w:t>一是在向上争</w:t>
      </w:r>
      <w:r>
        <w:rPr>
          <w:color w:val="231F20"/>
          <w:spacing w:val="-9"/>
        </w:rPr>
        <w:t>取方面成效凸显。紧盯上级资金政策走向，不断加强向上对接力</w:t>
      </w:r>
      <w:r>
        <w:rPr>
          <w:color w:val="231F20"/>
          <w:spacing w:val="-11"/>
        </w:rPr>
        <w:t>度，积极向上争取政策性资金，全年争取政策性资金</w:t>
      </w:r>
      <w:r>
        <w:rPr>
          <w:rFonts w:ascii="Times New Roman" w:eastAsia="Times New Roman"/>
          <w:color w:val="231F20"/>
        </w:rPr>
        <w:t>12.45 </w:t>
      </w:r>
      <w:r>
        <w:rPr>
          <w:color w:val="231F20"/>
          <w:spacing w:val="4"/>
        </w:rPr>
        <w:t>亿元，</w:t>
      </w:r>
    </w:p>
    <w:p>
      <w:pPr>
        <w:pStyle w:val="BodyText"/>
        <w:spacing w:line="300" w:lineRule="auto"/>
        <w:ind w:left="271" w:right="268"/>
        <w:jc w:val="both"/>
      </w:pPr>
      <w:r>
        <w:rPr>
          <w:color w:val="231F20"/>
          <w:spacing w:val="14"/>
        </w:rPr>
        <w:t>争取国债资金</w:t>
      </w:r>
      <w:r>
        <w:rPr>
          <w:rFonts w:ascii="Times New Roman" w:hAnsi="Times New Roman" w:eastAsia="Times New Roman"/>
          <w:color w:val="231F20"/>
        </w:rPr>
        <w:t>2.2</w:t>
      </w:r>
      <w:r>
        <w:rPr>
          <w:rFonts w:ascii="Times New Roman" w:hAnsi="Times New Roman" w:eastAsia="Times New Roman"/>
          <w:color w:val="231F20"/>
          <w:spacing w:val="-32"/>
        </w:rPr>
        <w:t> </w:t>
      </w:r>
      <w:r>
        <w:rPr>
          <w:color w:val="231F20"/>
          <w:spacing w:val="-4"/>
        </w:rPr>
        <w:t>亿元，发行专项债和置换债券</w:t>
      </w:r>
      <w:r>
        <w:rPr>
          <w:rFonts w:ascii="Times New Roman" w:hAnsi="Times New Roman" w:eastAsia="Times New Roman"/>
          <w:color w:val="231F20"/>
        </w:rPr>
        <w:t>27.85</w:t>
      </w:r>
      <w:r>
        <w:rPr>
          <w:rFonts w:ascii="Times New Roman" w:hAnsi="Times New Roman" w:eastAsia="Times New Roman"/>
          <w:color w:val="231F20"/>
          <w:spacing w:val="-32"/>
        </w:rPr>
        <w:t> </w:t>
      </w:r>
      <w:r>
        <w:rPr>
          <w:color w:val="231F20"/>
          <w:spacing w:val="-30"/>
        </w:rPr>
        <w:t>亿元，有力</w:t>
      </w:r>
      <w:r>
        <w:rPr>
          <w:color w:val="231F20"/>
          <w:spacing w:val="6"/>
        </w:rPr>
        <w:t>地促进了经济社会发展。二是全力服务重点项目建设。全年共</w:t>
      </w:r>
      <w:r>
        <w:rPr>
          <w:color w:val="231F20"/>
          <w:spacing w:val="17"/>
        </w:rPr>
        <w:t>拨付资金</w:t>
      </w:r>
      <w:r>
        <w:rPr>
          <w:rFonts w:ascii="Times New Roman" w:hAnsi="Times New Roman" w:eastAsia="Times New Roman"/>
          <w:color w:val="231F20"/>
        </w:rPr>
        <w:t>9.09</w:t>
      </w:r>
      <w:r>
        <w:rPr>
          <w:rFonts w:ascii="Times New Roman" w:hAnsi="Times New Roman" w:eastAsia="Times New Roman"/>
          <w:color w:val="231F20"/>
          <w:spacing w:val="-33"/>
        </w:rPr>
        <w:t> </w:t>
      </w:r>
      <w:r>
        <w:rPr>
          <w:color w:val="231F20"/>
          <w:spacing w:val="-14"/>
        </w:rPr>
        <w:t>亿元，保证了黄河流域生态保护高质量发展、自然</w:t>
      </w:r>
      <w:r>
        <w:rPr>
          <w:color w:val="231F20"/>
          <w:spacing w:val="-13"/>
        </w:rPr>
        <w:t>灾害防治体系建设、棚户区和老旧小区改造、城市道路路网等重</w:t>
      </w:r>
      <w:r>
        <w:rPr>
          <w:color w:val="231F20"/>
          <w:spacing w:val="-9"/>
        </w:rPr>
        <w:t>点项目建设顺利实施。三是支持乡村振兴和“三农”发展持续加</w:t>
      </w:r>
      <w:r>
        <w:rPr>
          <w:color w:val="231F20"/>
          <w:spacing w:val="-5"/>
        </w:rPr>
        <w:t>力。全年财政投入衔接资金</w:t>
      </w:r>
      <w:r>
        <w:rPr>
          <w:rFonts w:ascii="Times New Roman" w:hAnsi="Times New Roman" w:eastAsia="Times New Roman"/>
          <w:color w:val="231F20"/>
        </w:rPr>
        <w:t>13948.29</w:t>
      </w:r>
      <w:r>
        <w:rPr>
          <w:rFonts w:ascii="Times New Roman" w:hAnsi="Times New Roman" w:eastAsia="Times New Roman"/>
          <w:color w:val="231F20"/>
          <w:spacing w:val="-19"/>
        </w:rPr>
        <w:t> </w:t>
      </w:r>
      <w:r>
        <w:rPr>
          <w:color w:val="231F20"/>
          <w:spacing w:val="-57"/>
        </w:rPr>
        <w:t>万元</w:t>
      </w:r>
      <w:r>
        <w:rPr>
          <w:color w:val="231F20"/>
          <w:spacing w:val="-43"/>
        </w:rPr>
        <w:t>（</w:t>
      </w:r>
      <w:r>
        <w:rPr>
          <w:color w:val="231F20"/>
        </w:rPr>
        <w:t>其中灵宝市本级投入</w:t>
      </w:r>
    </w:p>
    <w:p>
      <w:pPr>
        <w:pStyle w:val="BodyText"/>
        <w:spacing w:line="398" w:lineRule="exact"/>
        <w:ind w:left="271"/>
        <w:jc w:val="both"/>
      </w:pPr>
      <w:r>
        <w:rPr>
          <w:rFonts w:ascii="Times New Roman" w:eastAsia="Times New Roman"/>
          <w:color w:val="231F20"/>
        </w:rPr>
        <w:t>3627.53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3"/>
        </w:rPr>
        <w:t>万元</w:t>
      </w:r>
      <w:r>
        <w:rPr>
          <w:color w:val="231F20"/>
          <w:spacing w:val="-129"/>
        </w:rPr>
        <w:t>）</w:t>
      </w:r>
      <w:r>
        <w:rPr>
          <w:color w:val="231F20"/>
          <w:spacing w:val="-11"/>
        </w:rPr>
        <w:t>，用于有效衔接推进乡村振兴项目建设，安排驻村</w:t>
      </w:r>
    </w:p>
    <w:p>
      <w:pPr>
        <w:pStyle w:val="BodyText"/>
        <w:spacing w:before="85"/>
        <w:ind w:left="271"/>
      </w:pPr>
      <w:r>
        <w:rPr>
          <w:color w:val="231F20"/>
          <w:spacing w:val="14"/>
        </w:rPr>
        <w:t>工作经费</w:t>
      </w:r>
      <w:r>
        <w:rPr>
          <w:rFonts w:ascii="Times New Roman" w:eastAsia="Times New Roman"/>
          <w:color w:val="231F20"/>
        </w:rPr>
        <w:t>377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10"/>
        </w:rPr>
        <w:t>万元，有力保障了驻村工作的开展。争取农村综合</w:t>
      </w:r>
    </w:p>
    <w:p>
      <w:pPr>
        <w:pStyle w:val="BodyText"/>
        <w:spacing w:before="100"/>
        <w:ind w:left="271"/>
      </w:pPr>
      <w:r>
        <w:rPr>
          <w:color w:val="231F20"/>
          <w:spacing w:val="6"/>
        </w:rPr>
        <w:t>改革财政资金</w:t>
      </w:r>
      <w:r>
        <w:rPr>
          <w:rFonts w:ascii="Times New Roman" w:eastAsia="Times New Roman"/>
          <w:color w:val="231F20"/>
        </w:rPr>
        <w:t>3697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36"/>
        </w:rPr>
        <w:t>万元，其中：争取</w:t>
      </w: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</w:rPr>
        <w:t>年农村公益事业财政奖</w:t>
      </w:r>
    </w:p>
    <w:p>
      <w:pPr>
        <w:pStyle w:val="BodyText"/>
        <w:spacing w:before="101"/>
        <w:ind w:left="271"/>
      </w:pPr>
      <w:r>
        <w:rPr>
          <w:color w:val="231F20"/>
          <w:spacing w:val="18"/>
        </w:rPr>
        <w:t>补项目</w:t>
      </w:r>
      <w:r>
        <w:rPr>
          <w:rFonts w:ascii="Times New Roman" w:eastAsia="Times New Roman"/>
          <w:color w:val="231F20"/>
        </w:rPr>
        <w:t>120</w:t>
      </w:r>
      <w:r>
        <w:rPr>
          <w:rFonts w:ascii="Times New Roman" w:eastAsia="Times New Roman"/>
          <w:color w:val="231F20"/>
          <w:spacing w:val="-35"/>
        </w:rPr>
        <w:t> </w:t>
      </w:r>
      <w:r>
        <w:rPr>
          <w:color w:val="231F20"/>
          <w:spacing w:val="-26"/>
        </w:rPr>
        <w:t>个，资金</w:t>
      </w:r>
      <w:r>
        <w:rPr>
          <w:rFonts w:ascii="Times New Roman" w:eastAsia="Times New Roman"/>
          <w:color w:val="231F20"/>
        </w:rPr>
        <w:t>1697</w:t>
      </w:r>
      <w:r>
        <w:rPr>
          <w:rFonts w:ascii="Times New Roman" w:eastAsia="Times New Roman"/>
          <w:color w:val="231F20"/>
          <w:spacing w:val="-35"/>
        </w:rPr>
        <w:t> </w:t>
      </w:r>
      <w:r>
        <w:rPr>
          <w:color w:val="231F20"/>
          <w:spacing w:val="-7"/>
        </w:rPr>
        <w:t>万元，美丽乡村重点县项目资金</w:t>
      </w:r>
      <w:r>
        <w:rPr>
          <w:rFonts w:ascii="Times New Roman" w:eastAsia="Times New Roman"/>
          <w:color w:val="231F20"/>
        </w:rPr>
        <w:t>2000</w:t>
      </w:r>
      <w:r>
        <w:rPr>
          <w:rFonts w:ascii="Times New Roman" w:eastAsia="Times New Roman"/>
          <w:color w:val="231F20"/>
          <w:spacing w:val="-35"/>
        </w:rPr>
        <w:t> </w:t>
      </w:r>
      <w:r>
        <w:rPr>
          <w:color w:val="231F20"/>
        </w:rPr>
        <w:t>万</w:t>
      </w:r>
    </w:p>
    <w:p>
      <w:pPr>
        <w:pStyle w:val="BodyText"/>
        <w:spacing w:before="100"/>
        <w:ind w:left="271"/>
      </w:pPr>
      <w:r>
        <w:rPr>
          <w:color w:val="231F20"/>
          <w:spacing w:val="-14"/>
        </w:rPr>
        <w:t>元；财政支农惠农效应凸显，县级投入</w:t>
      </w:r>
      <w:r>
        <w:rPr>
          <w:rFonts w:ascii="Times New Roman" w:eastAsia="Times New Roman"/>
          <w:color w:val="231F20"/>
        </w:rPr>
        <w:t>221.9</w:t>
      </w:r>
      <w:r>
        <w:rPr>
          <w:rFonts w:ascii="Times New Roman" w:eastAsia="Times New Roman"/>
          <w:color w:val="231F20"/>
          <w:spacing w:val="-33"/>
        </w:rPr>
        <w:t> </w:t>
      </w:r>
      <w:r>
        <w:rPr>
          <w:color w:val="231F20"/>
          <w:spacing w:val="-13"/>
        </w:rPr>
        <w:t>万元，撬动中央及省</w:t>
      </w:r>
    </w:p>
    <w:p>
      <w:pPr>
        <w:pStyle w:val="BodyText"/>
        <w:spacing w:line="300" w:lineRule="auto" w:before="101"/>
        <w:ind w:left="271" w:right="108"/>
        <w:rPr>
          <w:rFonts w:ascii="Times New Roman" w:eastAsia="Times New Roman"/>
        </w:rPr>
      </w:pPr>
      <w:r>
        <w:rPr>
          <w:color w:val="231F20"/>
          <w:spacing w:val="12"/>
        </w:rPr>
        <w:t>级财政补贴</w:t>
      </w:r>
      <w:r>
        <w:rPr>
          <w:rFonts w:ascii="Times New Roman" w:eastAsia="Times New Roman"/>
          <w:color w:val="231F20"/>
        </w:rPr>
        <w:t>377.6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17"/>
        </w:rPr>
        <w:t>万元，为全市</w:t>
      </w:r>
      <w:r>
        <w:rPr>
          <w:rFonts w:ascii="Times New Roman" w:eastAsia="Times New Roman"/>
          <w:color w:val="231F20"/>
        </w:rPr>
        <w:t>25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22"/>
        </w:rPr>
        <w:t>万余亩小麦、玉米、烟叶等农作</w:t>
      </w:r>
      <w:r>
        <w:rPr>
          <w:color w:val="231F20"/>
          <w:spacing w:val="-74"/>
        </w:rPr>
        <w:t>物、</w:t>
      </w:r>
      <w:r>
        <w:rPr>
          <w:rFonts w:ascii="Times New Roman" w:eastAsia="Times New Roman"/>
          <w:color w:val="231F20"/>
        </w:rPr>
        <w:t>61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12"/>
        </w:rPr>
        <w:t>万亩公益林及</w:t>
      </w:r>
      <w:r>
        <w:rPr>
          <w:rFonts w:ascii="Times New Roman" w:eastAsia="Times New Roman"/>
          <w:color w:val="231F20"/>
          <w:spacing w:val="-3"/>
        </w:rPr>
        <w:t>11.7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5"/>
        </w:rPr>
        <w:t>万头生猪等农产品提供了政策性保障。</w:t>
      </w:r>
      <w:r>
        <w:rPr>
          <w:color w:val="231F20"/>
          <w:spacing w:val="14"/>
        </w:rPr>
        <w:t>四是国有资产管理工作进一步加强。国有资产处置收入</w:t>
      </w:r>
      <w:r>
        <w:rPr>
          <w:rFonts w:ascii="Times New Roman" w:eastAsia="Times New Roman"/>
          <w:color w:val="231F20"/>
        </w:rPr>
        <w:t>41210</w:t>
      </w:r>
    </w:p>
    <w:p>
      <w:pPr>
        <w:pStyle w:val="BodyText"/>
        <w:spacing w:line="300" w:lineRule="auto"/>
        <w:ind w:left="271" w:right="268"/>
      </w:pPr>
      <w:r>
        <w:rPr>
          <w:color w:val="231F20"/>
          <w:spacing w:val="-2"/>
        </w:rPr>
        <w:t>万元，有偿使用收入完成</w:t>
      </w:r>
      <w:r>
        <w:rPr>
          <w:rFonts w:ascii="Times New Roman" w:eastAsia="Times New Roman"/>
          <w:color w:val="231F20"/>
        </w:rPr>
        <w:t>647.3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2"/>
        </w:rPr>
        <w:t>万元；组织拍卖涉案财物</w:t>
      </w:r>
      <w:r>
        <w:rPr>
          <w:rFonts w:ascii="Times New Roman" w:eastAsia="Times New Roman"/>
          <w:color w:val="231F20"/>
        </w:rPr>
        <w:t>1580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</w:rPr>
        <w:t>万</w:t>
      </w:r>
      <w:r>
        <w:rPr>
          <w:color w:val="231F20"/>
          <w:spacing w:val="-14"/>
        </w:rPr>
        <w:t>元，已全部上缴国库。五是财政精准赋能新质生产力。利用上级</w:t>
      </w:r>
    </w:p>
    <w:p>
      <w:pPr>
        <w:spacing w:after="0" w:line="300" w:lineRule="auto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0" w:right="269"/>
      </w:pPr>
      <w:r>
        <w:rPr>
          <w:color w:val="231F20"/>
          <w:spacing w:val="-24"/>
        </w:rPr>
        <w:t>政策，为企业争取制造业高质量发展、三大改造、满负荷生产财政</w:t>
      </w:r>
      <w:r>
        <w:rPr>
          <w:color w:val="231F20"/>
          <w:spacing w:val="-11"/>
        </w:rPr>
        <w:t>奖励等资金</w:t>
      </w:r>
      <w:r>
        <w:rPr>
          <w:rFonts w:ascii="Times New Roman" w:eastAsia="Times New Roman"/>
          <w:color w:val="231F20"/>
        </w:rPr>
        <w:t>1344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-13"/>
        </w:rPr>
        <w:t>万元；发放创业担保贷款</w:t>
      </w:r>
      <w:r>
        <w:rPr>
          <w:rFonts w:ascii="Times New Roman" w:eastAsia="Times New Roman"/>
          <w:color w:val="231F20"/>
        </w:rPr>
        <w:t>622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  <w:spacing w:val="-31"/>
        </w:rPr>
        <w:t>笔，金额</w:t>
      </w:r>
      <w:r>
        <w:rPr>
          <w:rFonts w:ascii="Times New Roman" w:eastAsia="Times New Roman"/>
          <w:color w:val="231F20"/>
        </w:rPr>
        <w:t>12580.5</w:t>
      </w:r>
      <w:r>
        <w:rPr>
          <w:rFonts w:ascii="Times New Roman" w:eastAsia="Times New Roman"/>
          <w:color w:val="231F20"/>
          <w:spacing w:val="-34"/>
        </w:rPr>
        <w:t> </w:t>
      </w:r>
      <w:r>
        <w:rPr>
          <w:color w:val="231F20"/>
        </w:rPr>
        <w:t>万</w:t>
      </w:r>
    </w:p>
    <w:p>
      <w:pPr>
        <w:pStyle w:val="BodyText"/>
        <w:spacing w:line="406" w:lineRule="exact"/>
        <w:ind w:left="270"/>
      </w:pPr>
      <w:r>
        <w:rPr>
          <w:color w:val="231F20"/>
          <w:spacing w:val="-8"/>
        </w:rPr>
        <w:t>元，其中返乡创业农民工贷款</w:t>
      </w:r>
      <w:r>
        <w:rPr>
          <w:rFonts w:ascii="Times New Roman" w:eastAsia="Times New Roman"/>
          <w:color w:val="231F20"/>
        </w:rPr>
        <w:t>507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27"/>
        </w:rPr>
        <w:t>笔，金额</w:t>
      </w:r>
      <w:r>
        <w:rPr>
          <w:rFonts w:ascii="Times New Roman" w:eastAsia="Times New Roman"/>
          <w:color w:val="231F20"/>
        </w:rPr>
        <w:t>8746.1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21"/>
        </w:rPr>
        <w:t>万元，扶持创业</w:t>
      </w:r>
    </w:p>
    <w:p>
      <w:pPr>
        <w:pStyle w:val="BodyText"/>
        <w:spacing w:before="101"/>
        <w:ind w:left="270"/>
      </w:pPr>
      <w:r>
        <w:rPr>
          <w:rFonts w:ascii="Times New Roman" w:eastAsia="Times New Roman"/>
          <w:color w:val="231F20"/>
        </w:rPr>
        <w:t>619 </w:t>
      </w:r>
      <w:r>
        <w:rPr>
          <w:color w:val="231F20"/>
        </w:rPr>
        <w:t>人，带动就业</w:t>
      </w:r>
      <w:r>
        <w:rPr>
          <w:rFonts w:ascii="Times New Roman" w:eastAsia="Times New Roman"/>
          <w:color w:val="231F20"/>
        </w:rPr>
        <w:t>1405 </w:t>
      </w:r>
      <w:r>
        <w:rPr>
          <w:color w:val="231F20"/>
        </w:rPr>
        <w:t>人。</w:t>
      </w:r>
    </w:p>
    <w:p>
      <w:pPr>
        <w:pStyle w:val="BodyText"/>
        <w:spacing w:line="300" w:lineRule="auto" w:before="100"/>
        <w:ind w:left="270" w:right="269" w:firstLine="536"/>
        <w:jc w:val="both"/>
        <w:rPr>
          <w:rFonts w:ascii="Times New Roman" w:hAnsi="Times New Roman" w:eastAsia="Times New Roman"/>
        </w:rPr>
      </w:pPr>
      <w:r>
        <w:rPr>
          <w:rFonts w:ascii="楷体_GB2312" w:hAnsi="楷体_GB2312" w:eastAsia="楷体_GB2312" w:hint="eastAsia"/>
          <w:color w:val="231F20"/>
          <w:spacing w:val="-44"/>
        </w:rPr>
        <w:t>（</w:t>
      </w:r>
      <w:r>
        <w:rPr>
          <w:rFonts w:ascii="楷体_GB2312" w:hAnsi="楷体_GB2312" w:eastAsia="楷体_GB2312" w:hint="eastAsia"/>
          <w:color w:val="231F20"/>
          <w:spacing w:val="-43"/>
        </w:rPr>
        <w:t>四</w:t>
      </w:r>
      <w:r>
        <w:rPr>
          <w:rFonts w:ascii="楷体_GB2312" w:hAnsi="楷体_GB2312" w:eastAsia="楷体_GB2312" w:hint="eastAsia"/>
          <w:color w:val="231F20"/>
          <w:spacing w:val="-116"/>
        </w:rPr>
        <w:t>）</w:t>
      </w:r>
      <w:r>
        <w:rPr>
          <w:rFonts w:ascii="楷体_GB2312" w:hAnsi="楷体_GB2312" w:eastAsia="楷体_GB2312" w:hint="eastAsia"/>
          <w:color w:val="231F20"/>
          <w:spacing w:val="-13"/>
        </w:rPr>
        <w:t>不断完善社会保障体系，服务民生保障有力。</w:t>
      </w:r>
      <w:r>
        <w:rPr>
          <w:color w:val="231F20"/>
        </w:rPr>
        <w:t>全年财政</w:t>
      </w:r>
      <w:r>
        <w:rPr>
          <w:color w:val="231F20"/>
          <w:spacing w:val="-17"/>
        </w:rPr>
        <w:t>用于科教文卫、社保就业</w:t>
      </w:r>
      <w:r>
        <w:rPr>
          <w:color w:val="231F20"/>
          <w:spacing w:val="-37"/>
        </w:rPr>
        <w:t>“、三农”建设、环境保护等方面的民生支</w:t>
      </w:r>
      <w:r>
        <w:rPr>
          <w:color w:val="231F20"/>
          <w:spacing w:val="42"/>
        </w:rPr>
        <w:t>出</w:t>
      </w:r>
      <w:r>
        <w:rPr>
          <w:rFonts w:ascii="Times New Roman" w:hAnsi="Times New Roman" w:eastAsia="Times New Roman"/>
          <w:color w:val="231F20"/>
        </w:rPr>
        <w:t>380184</w:t>
      </w:r>
      <w:r>
        <w:rPr>
          <w:rFonts w:ascii="Times New Roman" w:hAnsi="Times New Roman" w:eastAsia="Times New Roman"/>
          <w:color w:val="231F20"/>
          <w:spacing w:val="-12"/>
        </w:rPr>
        <w:t> </w:t>
      </w:r>
      <w:r>
        <w:rPr>
          <w:color w:val="231F20"/>
          <w:spacing w:val="-11"/>
        </w:rPr>
        <w:t>万元，占一般公共预算支出比重的</w:t>
      </w:r>
      <w:r>
        <w:rPr>
          <w:rFonts w:ascii="Times New Roman" w:hAnsi="Times New Roman" w:eastAsia="Times New Roman"/>
          <w:color w:val="231F20"/>
        </w:rPr>
        <w:t>68.9%</w:t>
      </w:r>
      <w:r>
        <w:rPr>
          <w:color w:val="231F20"/>
        </w:rPr>
        <w:t>。一是在教育</w:t>
      </w:r>
      <w:r>
        <w:rPr>
          <w:color w:val="231F20"/>
          <w:spacing w:val="-9"/>
        </w:rPr>
        <w:t>方面，安排划拨义务教育阶段学生公用经费</w:t>
      </w:r>
      <w:r>
        <w:rPr>
          <w:rFonts w:ascii="Times New Roman" w:hAnsi="Times New Roman" w:eastAsia="Times New Roman"/>
          <w:color w:val="231F20"/>
        </w:rPr>
        <w:t>6805</w:t>
      </w:r>
      <w:r>
        <w:rPr>
          <w:rFonts w:ascii="Times New Roman" w:hAnsi="Times New Roman" w:eastAsia="Times New Roman"/>
          <w:color w:val="231F20"/>
          <w:spacing w:val="-37"/>
        </w:rPr>
        <w:t> </w:t>
      </w:r>
      <w:r>
        <w:rPr>
          <w:color w:val="231F20"/>
          <w:spacing w:val="-39"/>
        </w:rPr>
        <w:t>万元，其中，为</w:t>
      </w:r>
      <w:r>
        <w:rPr>
          <w:rFonts w:ascii="Times New Roman" w:hAnsi="Times New Roman" w:eastAsia="Times New Roman"/>
          <w:color w:val="231F20"/>
          <w:spacing w:val="-15"/>
        </w:rPr>
        <w:t>1</w:t>
      </w:r>
    </w:p>
    <w:p>
      <w:pPr>
        <w:pStyle w:val="BodyText"/>
        <w:spacing w:line="402" w:lineRule="exact"/>
        <w:ind w:left="270"/>
        <w:jc w:val="both"/>
      </w:pPr>
      <w:r>
        <w:rPr>
          <w:color w:val="231F20"/>
          <w:spacing w:val="-7"/>
        </w:rPr>
        <w:t>万余名学生发放助学金、免费教科书、困难补助等资金 </w:t>
      </w:r>
      <w:r>
        <w:rPr>
          <w:rFonts w:ascii="Times New Roman" w:eastAsia="Times New Roman"/>
          <w:color w:val="231F20"/>
        </w:rPr>
        <w:t>1437</w:t>
      </w:r>
      <w:r>
        <w:rPr>
          <w:rFonts w:ascii="Times New Roman" w:eastAsia="Times New Roman"/>
          <w:color w:val="231F20"/>
          <w:spacing w:val="-23"/>
        </w:rPr>
        <w:t> </w:t>
      </w:r>
      <w:r>
        <w:rPr>
          <w:color w:val="231F20"/>
        </w:rPr>
        <w:t>万</w:t>
      </w:r>
    </w:p>
    <w:p>
      <w:pPr>
        <w:pStyle w:val="BodyText"/>
        <w:spacing w:before="101"/>
        <w:ind w:left="270"/>
      </w:pPr>
      <w:r>
        <w:rPr>
          <w:color w:val="231F20"/>
          <w:spacing w:val="-18"/>
        </w:rPr>
        <w:t>元。二是在社会保障方面，积极救助社会困难群体，为</w:t>
      </w:r>
      <w:r>
        <w:rPr>
          <w:rFonts w:ascii="Times New Roman" w:eastAsia="Times New Roman"/>
          <w:color w:val="231F20"/>
        </w:rPr>
        <w:t>1.1</w:t>
      </w:r>
      <w:r>
        <w:rPr>
          <w:rFonts w:ascii="Times New Roman" w:eastAsia="Times New Roman"/>
          <w:color w:val="231F20"/>
          <w:spacing w:val="-16"/>
        </w:rPr>
        <w:t> </w:t>
      </w:r>
      <w:r>
        <w:rPr>
          <w:color w:val="231F20"/>
        </w:rPr>
        <w:t>万余名</w:t>
      </w:r>
    </w:p>
    <w:p>
      <w:pPr>
        <w:pStyle w:val="BodyText"/>
        <w:spacing w:before="100"/>
        <w:ind w:left="270"/>
      </w:pPr>
      <w:r>
        <w:rPr>
          <w:color w:val="231F20"/>
          <w:spacing w:val="5"/>
        </w:rPr>
        <w:t>低保户发放补助</w:t>
      </w:r>
      <w:r>
        <w:rPr>
          <w:rFonts w:ascii="Times New Roman" w:eastAsia="Times New Roman"/>
          <w:color w:val="231F20"/>
        </w:rPr>
        <w:t>4150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11"/>
        </w:rPr>
        <w:t>万元，为近万名残疾人发放两项补贴</w:t>
      </w:r>
      <w:r>
        <w:rPr>
          <w:rFonts w:ascii="Times New Roman" w:eastAsia="Times New Roman"/>
          <w:color w:val="231F20"/>
        </w:rPr>
        <w:t>836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</w:rPr>
        <w:t>万</w:t>
      </w:r>
    </w:p>
    <w:p>
      <w:pPr>
        <w:pStyle w:val="BodyText"/>
        <w:spacing w:before="101"/>
        <w:ind w:left="270"/>
      </w:pPr>
      <w:r>
        <w:rPr>
          <w:color w:val="231F20"/>
          <w:spacing w:val="-40"/>
        </w:rPr>
        <w:t>元，为</w:t>
      </w:r>
      <w:r>
        <w:rPr>
          <w:rFonts w:ascii="Times New Roman" w:eastAsia="Times New Roman"/>
          <w:color w:val="231F20"/>
        </w:rPr>
        <w:t>77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3"/>
        </w:rPr>
        <w:t>个交通事故家庭垫付资金</w:t>
      </w:r>
      <w:r>
        <w:rPr>
          <w:rFonts w:ascii="Times New Roman" w:eastAsia="Times New Roman"/>
          <w:color w:val="231F20"/>
        </w:rPr>
        <w:t>342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29"/>
        </w:rPr>
        <w:t>万元，做到了应保尽保，困</w:t>
      </w:r>
    </w:p>
    <w:p>
      <w:pPr>
        <w:pStyle w:val="BodyText"/>
        <w:spacing w:before="100"/>
        <w:ind w:left="270"/>
      </w:pPr>
      <w:r>
        <w:rPr>
          <w:color w:val="231F20"/>
          <w:spacing w:val="2"/>
        </w:rPr>
        <w:t>有所济。三是在社会养老方面，为</w:t>
      </w:r>
      <w:r>
        <w:rPr>
          <w:rFonts w:ascii="Times New Roman" w:eastAsia="Times New Roman"/>
          <w:color w:val="231F20"/>
        </w:rPr>
        <w:t>8600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9"/>
        </w:rPr>
        <w:t>余名机关事业单位退休</w:t>
      </w:r>
    </w:p>
    <w:p>
      <w:pPr>
        <w:pStyle w:val="BodyText"/>
        <w:spacing w:before="101"/>
        <w:ind w:left="270"/>
      </w:pPr>
      <w:r>
        <w:rPr>
          <w:color w:val="231F20"/>
          <w:spacing w:val="5"/>
        </w:rPr>
        <w:t>人员发放养老金</w:t>
      </w:r>
      <w:r>
        <w:rPr>
          <w:rFonts w:ascii="Times New Roman" w:eastAsia="Times New Roman"/>
          <w:color w:val="231F20"/>
        </w:rPr>
        <w:t>48338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30"/>
        </w:rPr>
        <w:t>万元，为</w:t>
      </w:r>
      <w:r>
        <w:rPr>
          <w:rFonts w:ascii="Times New Roman" w:eastAsia="Times New Roman"/>
          <w:color w:val="231F20"/>
        </w:rPr>
        <w:t>10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</w:rPr>
        <w:t>万余名老人发放养老金及丧葬</w:t>
      </w:r>
    </w:p>
    <w:p>
      <w:pPr>
        <w:pStyle w:val="BodyText"/>
        <w:spacing w:line="300" w:lineRule="auto" w:before="100"/>
        <w:ind w:left="270" w:right="269"/>
        <w:jc w:val="both"/>
      </w:pPr>
      <w:r>
        <w:rPr>
          <w:color w:val="231F20"/>
          <w:spacing w:val="13"/>
        </w:rPr>
        <w:t>费补助</w:t>
      </w:r>
      <w:r>
        <w:rPr>
          <w:rFonts w:ascii="Times New Roman" w:hAnsi="Times New Roman" w:eastAsia="Times New Roman"/>
          <w:color w:val="231F20"/>
        </w:rPr>
        <w:t>19728</w:t>
      </w:r>
      <w:r>
        <w:rPr>
          <w:rFonts w:ascii="Times New Roman" w:hAnsi="Times New Roman" w:eastAsia="Times New Roman"/>
          <w:color w:val="231F20"/>
          <w:spacing w:val="-40"/>
        </w:rPr>
        <w:t> </w:t>
      </w:r>
      <w:r>
        <w:rPr>
          <w:color w:val="231F20"/>
          <w:spacing w:val="-31"/>
        </w:rPr>
        <w:t>万元，为</w:t>
      </w:r>
      <w:r>
        <w:rPr>
          <w:rFonts w:ascii="Times New Roman" w:hAnsi="Times New Roman" w:eastAsia="Times New Roman"/>
          <w:color w:val="231F20"/>
        </w:rPr>
        <w:t>1.2</w:t>
      </w:r>
      <w:r>
        <w:rPr>
          <w:rFonts w:ascii="Times New Roman" w:hAnsi="Times New Roman" w:eastAsia="Times New Roman"/>
          <w:color w:val="231F20"/>
          <w:spacing w:val="-40"/>
        </w:rPr>
        <w:t> </w:t>
      </w:r>
      <w:r>
        <w:rPr>
          <w:color w:val="231F20"/>
          <w:spacing w:val="13"/>
        </w:rPr>
        <w:t>万余名</w:t>
      </w:r>
      <w:r>
        <w:rPr>
          <w:rFonts w:ascii="Times New Roman" w:hAnsi="Times New Roman" w:eastAsia="Times New Roman"/>
          <w:color w:val="231F20"/>
        </w:rPr>
        <w:t>80</w:t>
      </w:r>
      <w:r>
        <w:rPr>
          <w:rFonts w:ascii="Times New Roman" w:hAnsi="Times New Roman" w:eastAsia="Times New Roman"/>
          <w:color w:val="231F20"/>
          <w:spacing w:val="-39"/>
        </w:rPr>
        <w:t> </w:t>
      </w:r>
      <w:r>
        <w:rPr>
          <w:color w:val="231F20"/>
          <w:spacing w:val="3"/>
        </w:rPr>
        <w:t>岁以上老人发放高龄补贴</w:t>
      </w:r>
      <w:r>
        <w:rPr>
          <w:rFonts w:ascii="Times New Roman" w:hAnsi="Times New Roman" w:eastAsia="Times New Roman"/>
          <w:color w:val="231F20"/>
          <w:spacing w:val="-5"/>
        </w:rPr>
        <w:t>792 </w:t>
      </w:r>
      <w:r>
        <w:rPr>
          <w:color w:val="231F20"/>
          <w:spacing w:val="-25"/>
        </w:rPr>
        <w:t>万元，老有所养取得新突破。四是全年通过“一卡通”系统发放补</w:t>
      </w:r>
      <w:r>
        <w:rPr>
          <w:color w:val="231F20"/>
          <w:spacing w:val="-4"/>
        </w:rPr>
        <w:t>贴项目</w:t>
      </w:r>
      <w:r>
        <w:rPr>
          <w:rFonts w:ascii="Times New Roman" w:hAnsi="Times New Roman" w:eastAsia="Times New Roman"/>
          <w:color w:val="231F20"/>
        </w:rPr>
        <w:t>58</w:t>
      </w:r>
      <w:r>
        <w:rPr>
          <w:rFonts w:ascii="Times New Roman" w:hAnsi="Times New Roman" w:eastAsia="Times New Roman"/>
          <w:color w:val="231F20"/>
          <w:spacing w:val="-36"/>
        </w:rPr>
        <w:t> </w:t>
      </w:r>
      <w:r>
        <w:rPr>
          <w:color w:val="231F20"/>
          <w:spacing w:val="-21"/>
        </w:rPr>
        <w:t>项，补贴资金</w:t>
      </w:r>
      <w:r>
        <w:rPr>
          <w:rFonts w:ascii="Times New Roman" w:hAnsi="Times New Roman" w:eastAsia="Times New Roman"/>
          <w:color w:val="231F20"/>
        </w:rPr>
        <w:t>33257.4</w:t>
      </w:r>
      <w:r>
        <w:rPr>
          <w:rFonts w:ascii="Times New Roman" w:hAnsi="Times New Roman" w:eastAsia="Times New Roman"/>
          <w:color w:val="231F20"/>
          <w:spacing w:val="-35"/>
        </w:rPr>
        <w:t> </w:t>
      </w:r>
      <w:r>
        <w:rPr>
          <w:color w:val="231F20"/>
          <w:spacing w:val="-24"/>
        </w:rPr>
        <w:t>万元，惠及</w:t>
      </w:r>
      <w:r>
        <w:rPr>
          <w:rFonts w:ascii="Times New Roman" w:hAnsi="Times New Roman" w:eastAsia="Times New Roman"/>
          <w:color w:val="231F20"/>
        </w:rPr>
        <w:t>957556</w:t>
      </w:r>
      <w:r>
        <w:rPr>
          <w:rFonts w:ascii="Times New Roman" w:hAnsi="Times New Roman" w:eastAsia="Times New Roman"/>
          <w:color w:val="231F20"/>
          <w:spacing w:val="-35"/>
        </w:rPr>
        <w:t> </w:t>
      </w:r>
      <w:r>
        <w:rPr>
          <w:color w:val="231F20"/>
          <w:spacing w:val="-24"/>
        </w:rPr>
        <w:t>人次，社保卡占</w:t>
      </w:r>
      <w:r>
        <w:rPr>
          <w:color w:val="231F20"/>
          <w:spacing w:val="12"/>
        </w:rPr>
        <w:t>比和发放成功率均达</w:t>
      </w:r>
      <w:r>
        <w:rPr>
          <w:rFonts w:ascii="Times New Roman" w:hAnsi="Times New Roman" w:eastAsia="Times New Roman"/>
          <w:color w:val="231F20"/>
        </w:rPr>
        <w:t>100</w:t>
      </w:r>
      <w:r>
        <w:rPr>
          <w:rFonts w:ascii="Times New Roman" w:hAnsi="Times New Roman" w:eastAsia="Times New Roman"/>
          <w:color w:val="231F20"/>
          <w:spacing w:val="8"/>
        </w:rPr>
        <w:t>%</w:t>
      </w:r>
      <w:r>
        <w:rPr>
          <w:color w:val="231F20"/>
          <w:spacing w:val="-6"/>
        </w:rPr>
        <w:t>，受到全省通报表彰。五是全力落实</w:t>
      </w:r>
      <w:r>
        <w:rPr>
          <w:color w:val="231F20"/>
          <w:spacing w:val="-8"/>
        </w:rPr>
        <w:t>积极就业政策，全年安排资金</w:t>
      </w:r>
      <w:r>
        <w:rPr>
          <w:rFonts w:ascii="Times New Roman" w:hAnsi="Times New Roman" w:eastAsia="Times New Roman"/>
          <w:color w:val="231F20"/>
        </w:rPr>
        <w:t>2562</w:t>
      </w:r>
      <w:r>
        <w:rPr>
          <w:rFonts w:ascii="Times New Roman" w:hAnsi="Times New Roman" w:eastAsia="Times New Roman"/>
          <w:color w:val="231F20"/>
          <w:spacing w:val="-36"/>
        </w:rPr>
        <w:t> </w:t>
      </w:r>
      <w:r>
        <w:rPr>
          <w:color w:val="231F20"/>
          <w:spacing w:val="-12"/>
        </w:rPr>
        <w:t>万元，主要用于农村劳动力技</w:t>
      </w:r>
      <w:r>
        <w:rPr>
          <w:color w:val="231F20"/>
          <w:spacing w:val="-21"/>
        </w:rPr>
        <w:t>能培训、公益岗位补助、见习补贴、一次性创业补贴、全民技能振</w:t>
      </w:r>
      <w:r>
        <w:rPr>
          <w:color w:val="231F20"/>
          <w:spacing w:val="-10"/>
        </w:rPr>
        <w:t>兴工程等。六是为平安建设保驾护航，立足财政职责，统筹各级</w:t>
      </w:r>
      <w:r>
        <w:rPr>
          <w:color w:val="231F20"/>
          <w:spacing w:val="24"/>
        </w:rPr>
        <w:t>资金</w:t>
      </w:r>
      <w:r>
        <w:rPr>
          <w:rFonts w:ascii="Times New Roman" w:hAnsi="Times New Roman" w:eastAsia="Times New Roman"/>
          <w:color w:val="231F20"/>
        </w:rPr>
        <w:t>3700</w:t>
      </w:r>
      <w:r>
        <w:rPr>
          <w:rFonts w:ascii="Times New Roman" w:hAnsi="Times New Roman" w:eastAsia="Times New Roman"/>
          <w:color w:val="231F20"/>
          <w:spacing w:val="-36"/>
        </w:rPr>
        <w:t> </w:t>
      </w:r>
      <w:r>
        <w:rPr>
          <w:color w:val="231F20"/>
          <w:spacing w:val="-28"/>
        </w:rPr>
        <w:t>余万元，用于平安建设、司法救助、社区矫正、公安办案</w:t>
      </w:r>
      <w:r>
        <w:rPr>
          <w:color w:val="231F20"/>
          <w:spacing w:val="-15"/>
        </w:rPr>
        <w:t>等，有力保障了全市平安建设工作。</w:t>
      </w:r>
    </w:p>
    <w:p>
      <w:pPr>
        <w:pStyle w:val="BodyText"/>
        <w:spacing w:line="392" w:lineRule="exact"/>
        <w:ind w:left="806"/>
      </w:pPr>
      <w:r>
        <w:rPr>
          <w:rFonts w:ascii="楷体_GB2312" w:eastAsia="楷体_GB2312" w:hint="eastAsia"/>
          <w:color w:val="231F20"/>
          <w:spacing w:val="-44"/>
        </w:rPr>
        <w:t>（</w:t>
      </w:r>
      <w:r>
        <w:rPr>
          <w:rFonts w:ascii="楷体_GB2312" w:eastAsia="楷体_GB2312" w:hint="eastAsia"/>
          <w:color w:val="231F20"/>
          <w:spacing w:val="-43"/>
        </w:rPr>
        <w:t>五</w:t>
      </w:r>
      <w:r>
        <w:rPr>
          <w:rFonts w:ascii="楷体_GB2312" w:eastAsia="楷体_GB2312" w:hint="eastAsia"/>
          <w:color w:val="231F20"/>
          <w:spacing w:val="-116"/>
        </w:rPr>
        <w:t>）</w:t>
      </w:r>
      <w:r>
        <w:rPr>
          <w:rFonts w:ascii="楷体_GB2312" w:eastAsia="楷体_GB2312" w:hint="eastAsia"/>
          <w:color w:val="231F20"/>
          <w:spacing w:val="-14"/>
        </w:rPr>
        <w:t>持续深化改革，激发财政创新活力。</w:t>
      </w:r>
      <w:r>
        <w:rPr>
          <w:color w:val="231F20"/>
        </w:rPr>
        <w:t>一是市乡财政体制</w:t>
      </w:r>
    </w:p>
    <w:p>
      <w:pPr>
        <w:spacing w:after="0" w:line="392" w:lineRule="exact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0" w:right="269"/>
        <w:jc w:val="both"/>
      </w:pPr>
      <w:r>
        <w:rPr>
          <w:color w:val="231F20"/>
          <w:spacing w:val="2"/>
        </w:rPr>
        <w:t>改革工作不断深化。结合工作实际，不断改进完善</w:t>
      </w:r>
      <w:r>
        <w:rPr>
          <w:rFonts w:ascii="Times New Roman" w:hAnsi="Times New Roman" w:eastAsia="Times New Roman"/>
          <w:color w:val="231F20"/>
        </w:rPr>
        <w:t>2024</w:t>
      </w:r>
      <w:r>
        <w:rPr>
          <w:rFonts w:ascii="Times New Roman" w:hAnsi="Times New Roman" w:eastAsia="Times New Roman"/>
          <w:color w:val="231F20"/>
          <w:spacing w:val="-29"/>
        </w:rPr>
        <w:t> </w:t>
      </w:r>
      <w:r>
        <w:rPr>
          <w:color w:val="231F20"/>
          <w:spacing w:val="7"/>
        </w:rPr>
        <w:t>年开始</w:t>
      </w:r>
      <w:r>
        <w:rPr>
          <w:color w:val="231F20"/>
          <w:spacing w:val="-13"/>
        </w:rPr>
        <w:t>执行的乡镇财政管理体制，对税收收入划分、现金调拨方式进行</w:t>
      </w:r>
      <w:r>
        <w:rPr>
          <w:color w:val="231F20"/>
          <w:spacing w:val="-23"/>
        </w:rPr>
        <w:t>优化；将村级组织经费、机关干部工资社保等纳入全市“三保”支</w:t>
      </w:r>
      <w:r>
        <w:rPr>
          <w:color w:val="231F20"/>
          <w:spacing w:val="-13"/>
        </w:rPr>
        <w:t>出监控范围，每月提前向乡镇调拨现金，监督乡镇及村组干部工</w:t>
      </w:r>
      <w:r>
        <w:rPr>
          <w:color w:val="231F20"/>
          <w:spacing w:val="-26"/>
        </w:rPr>
        <w:t>资等经费的支付，有效保障了基层“三保”。二是不断强化矿产品</w:t>
      </w:r>
      <w:r>
        <w:rPr>
          <w:color w:val="231F20"/>
          <w:spacing w:val="-27"/>
        </w:rPr>
        <w:t>企业服务机制改革。聚政府相关职能部门合力，不断提高对矿产</w:t>
      </w:r>
      <w:r>
        <w:rPr>
          <w:color w:val="231F20"/>
          <w:spacing w:val="-30"/>
        </w:rPr>
        <w:t>品贸易企业的服务水平，精简各项手续办理，优化办理流程，规避</w:t>
      </w:r>
      <w:r>
        <w:rPr>
          <w:color w:val="231F20"/>
          <w:spacing w:val="-14"/>
        </w:rPr>
        <w:t>风险；持续吸引我市外流矿产品企业回流域内，为全市经济转型</w:t>
      </w:r>
      <w:r>
        <w:rPr>
          <w:color w:val="231F20"/>
          <w:spacing w:val="-21"/>
        </w:rPr>
        <w:t>发展加力增效。三是持续推进财政投资评审改革，通过公开招标</w:t>
      </w:r>
      <w:r>
        <w:rPr>
          <w:color w:val="231F20"/>
          <w:spacing w:val="14"/>
        </w:rPr>
        <w:t>方式确定</w:t>
      </w:r>
      <w:r>
        <w:rPr>
          <w:rFonts w:ascii="Times New Roman" w:hAnsi="Times New Roman" w:eastAsia="Times New Roman"/>
          <w:color w:val="231F20"/>
        </w:rPr>
        <w:t>35</w:t>
      </w:r>
      <w:r>
        <w:rPr>
          <w:rFonts w:ascii="Times New Roman" w:hAnsi="Times New Roman" w:eastAsia="Times New Roman"/>
          <w:color w:val="231F20"/>
          <w:spacing w:val="-36"/>
        </w:rPr>
        <w:t> </w:t>
      </w:r>
      <w:r>
        <w:rPr>
          <w:color w:val="231F20"/>
          <w:spacing w:val="-15"/>
        </w:rPr>
        <w:t>家第三方服务机构，并开发相关软件，由系统随机匹</w:t>
      </w:r>
      <w:r>
        <w:rPr>
          <w:color w:val="231F20"/>
          <w:spacing w:val="-13"/>
        </w:rPr>
        <w:t>配第三方进行项目评审，全程由纪检部门监督，消除腐败滋生土</w:t>
      </w:r>
      <w:r>
        <w:rPr>
          <w:color w:val="231F20"/>
        </w:rPr>
        <w:t>壤；建立项目复核机制和评审限时办结制度，加快评审办理时</w:t>
      </w:r>
      <w:r>
        <w:rPr>
          <w:color w:val="231F20"/>
          <w:spacing w:val="-12"/>
        </w:rPr>
        <w:t>效，建立评分淘汰机制，排名靠后的第三方暂行退出，从源头控</w:t>
      </w:r>
      <w:r>
        <w:rPr>
          <w:color w:val="231F20"/>
          <w:spacing w:val="-17"/>
        </w:rPr>
        <w:t>制基建项目成本，完善了公开、公平、公正的竞争机制。</w:t>
      </w:r>
    </w:p>
    <w:p>
      <w:pPr>
        <w:pStyle w:val="BodyText"/>
        <w:spacing w:line="382" w:lineRule="exact"/>
        <w:ind w:left="807"/>
      </w:pPr>
      <w:r>
        <w:rPr>
          <w:rFonts w:ascii="楷体_GB2312" w:eastAsia="楷体_GB2312" w:hint="eastAsia"/>
          <w:color w:val="231F20"/>
          <w:spacing w:val="-44"/>
        </w:rPr>
        <w:t>（</w:t>
      </w:r>
      <w:r>
        <w:rPr>
          <w:rFonts w:ascii="楷体_GB2312" w:eastAsia="楷体_GB2312" w:hint="eastAsia"/>
          <w:color w:val="231F20"/>
          <w:spacing w:val="-43"/>
        </w:rPr>
        <w:t>六</w:t>
      </w:r>
      <w:r>
        <w:rPr>
          <w:rFonts w:ascii="楷体_GB2312" w:eastAsia="楷体_GB2312" w:hint="eastAsia"/>
          <w:color w:val="231F20"/>
          <w:spacing w:val="-115"/>
        </w:rPr>
        <w:t>）</w:t>
      </w:r>
      <w:r>
        <w:rPr>
          <w:rFonts w:ascii="楷体_GB2312" w:eastAsia="楷体_GB2312" w:hint="eastAsia"/>
          <w:color w:val="231F20"/>
        </w:rPr>
        <w:t>监管能力不断提高。</w:t>
      </w:r>
      <w:r>
        <w:rPr>
          <w:color w:val="231F20"/>
          <w:spacing w:val="-14"/>
        </w:rPr>
        <w:t>一是政府采购、投资评审工作成效</w:t>
      </w:r>
    </w:p>
    <w:p>
      <w:pPr>
        <w:pStyle w:val="BodyText"/>
        <w:spacing w:before="101"/>
        <w:ind w:left="270"/>
        <w:jc w:val="both"/>
      </w:pPr>
      <w:r>
        <w:rPr>
          <w:color w:val="231F20"/>
          <w:spacing w:val="10"/>
        </w:rPr>
        <w:t>突出。全年共办理备案采购业务</w:t>
      </w:r>
      <w:r>
        <w:rPr>
          <w:rFonts w:ascii="Times New Roman" w:eastAsia="Times New Roman"/>
          <w:color w:val="231F20"/>
        </w:rPr>
        <w:t>150</w:t>
      </w:r>
      <w:r>
        <w:rPr>
          <w:rFonts w:ascii="Times New Roman" w:eastAsia="Times New Roman"/>
          <w:color w:val="231F20"/>
          <w:spacing w:val="-32"/>
        </w:rPr>
        <w:t> </w:t>
      </w:r>
      <w:r>
        <w:rPr>
          <w:color w:val="231F20"/>
          <w:spacing w:val="-8"/>
        </w:rPr>
        <w:t>次，完成采购预算</w:t>
      </w:r>
      <w:r>
        <w:rPr>
          <w:rFonts w:ascii="Times New Roman" w:eastAsia="Times New Roman"/>
          <w:color w:val="231F20"/>
        </w:rPr>
        <w:t>48055</w:t>
      </w:r>
      <w:r>
        <w:rPr>
          <w:rFonts w:ascii="Times New Roman" w:eastAsia="Times New Roman"/>
          <w:color w:val="231F20"/>
          <w:spacing w:val="-32"/>
        </w:rPr>
        <w:t> </w:t>
      </w:r>
      <w:r>
        <w:rPr>
          <w:color w:val="231F20"/>
        </w:rPr>
        <w:t>万</w:t>
      </w:r>
    </w:p>
    <w:p>
      <w:pPr>
        <w:pStyle w:val="BodyText"/>
        <w:spacing w:before="100"/>
        <w:ind w:left="270"/>
        <w:jc w:val="both"/>
      </w:pPr>
      <w:r>
        <w:rPr>
          <w:color w:val="231F20"/>
          <w:spacing w:val="-16"/>
        </w:rPr>
        <w:t>元，实际采购支出</w:t>
      </w:r>
      <w:r>
        <w:rPr>
          <w:rFonts w:ascii="Times New Roman" w:eastAsia="Times New Roman"/>
          <w:color w:val="231F20"/>
        </w:rPr>
        <w:t>44188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8"/>
        </w:rPr>
        <w:t>万元，节约资金</w:t>
      </w:r>
      <w:r>
        <w:rPr>
          <w:rFonts w:ascii="Times New Roman" w:eastAsia="Times New Roman"/>
          <w:color w:val="231F20"/>
        </w:rPr>
        <w:t>3867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9"/>
        </w:rPr>
        <w:t>万元；完成投资评审</w:t>
      </w:r>
    </w:p>
    <w:p>
      <w:pPr>
        <w:pStyle w:val="BodyText"/>
        <w:spacing w:before="101"/>
        <w:ind w:left="270"/>
        <w:jc w:val="both"/>
      </w:pPr>
      <w:r>
        <w:rPr>
          <w:color w:val="231F20"/>
          <w:spacing w:val="30"/>
        </w:rPr>
        <w:t>项目</w:t>
      </w:r>
      <w:r>
        <w:rPr>
          <w:rFonts w:ascii="Times New Roman" w:eastAsia="Times New Roman"/>
          <w:color w:val="231F20"/>
        </w:rPr>
        <w:t>136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10"/>
        </w:rPr>
        <w:t>个，送审金额</w:t>
      </w:r>
      <w:r>
        <w:rPr>
          <w:rFonts w:ascii="Times New Roman" w:eastAsia="Times New Roman"/>
          <w:color w:val="231F20"/>
        </w:rPr>
        <w:t>13.2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8"/>
        </w:rPr>
        <w:t>亿元，审定金额</w:t>
      </w:r>
      <w:r>
        <w:rPr>
          <w:rFonts w:ascii="Times New Roman" w:eastAsia="Times New Roman"/>
          <w:color w:val="231F20"/>
        </w:rPr>
        <w:t>12.43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15"/>
        </w:rPr>
        <w:t>亿元，审减金额</w:t>
      </w:r>
    </w:p>
    <w:p>
      <w:pPr>
        <w:pStyle w:val="BodyText"/>
        <w:spacing w:line="300" w:lineRule="auto" w:before="100"/>
        <w:ind w:left="270" w:right="109"/>
        <w:jc w:val="both"/>
      </w:pPr>
      <w:r>
        <w:rPr>
          <w:rFonts w:ascii="Times New Roman" w:hAnsi="Times New Roman" w:eastAsia="Times New Roman"/>
          <w:color w:val="231F20"/>
        </w:rPr>
        <w:t>7700 </w:t>
      </w:r>
      <w:r>
        <w:rPr>
          <w:color w:val="231F20"/>
          <w:spacing w:val="5"/>
        </w:rPr>
        <w:t>万元。二是全面实施预算绩效管理。对本年度预算金额</w:t>
      </w:r>
      <w:r>
        <w:rPr>
          <w:rFonts w:ascii="Times New Roman" w:hAnsi="Times New Roman" w:eastAsia="Times New Roman"/>
          <w:color w:val="231F20"/>
        </w:rPr>
        <w:t>50 </w:t>
      </w:r>
      <w:r>
        <w:rPr>
          <w:color w:val="231F20"/>
          <w:spacing w:val="-13"/>
        </w:rPr>
        <w:t>万元以上项目资金，全部纳入预算绩效管理，随年初预算一并提</w:t>
      </w:r>
      <w:r>
        <w:rPr>
          <w:color w:val="231F20"/>
          <w:spacing w:val="-14"/>
        </w:rPr>
        <w:t>交市人大审议，实行全流程监管；圆满完成</w:t>
      </w:r>
      <w:r>
        <w:rPr>
          <w:rFonts w:ascii="Times New Roman" w:hAnsi="Times New Roman" w:eastAsia="Times New Roman"/>
          <w:color w:val="231F20"/>
        </w:rPr>
        <w:t>2024 </w:t>
      </w:r>
      <w:r>
        <w:rPr>
          <w:color w:val="231F20"/>
          <w:spacing w:val="3"/>
        </w:rPr>
        <w:t>年度全市预算单</w:t>
      </w:r>
      <w:r>
        <w:rPr>
          <w:color w:val="231F20"/>
          <w:spacing w:val="6"/>
        </w:rPr>
        <w:t>位绩效监控工作及财政重点项目绩效评价工作。三是深入开展</w:t>
      </w:r>
      <w:r>
        <w:rPr>
          <w:color w:val="231F20"/>
          <w:spacing w:val="-12"/>
        </w:rPr>
        <w:t>集中整治工作。把农村集体“三资”专项整治作为群众身边不正</w:t>
      </w:r>
      <w:r>
        <w:rPr>
          <w:color w:val="231F20"/>
          <w:spacing w:val="-2"/>
        </w:rPr>
        <w:t>之风和腐败问题集中整治三个小切口之一，及时成立工作专班，</w:t>
      </w:r>
    </w:p>
    <w:p>
      <w:pPr>
        <w:spacing w:after="0" w:line="300" w:lineRule="auto"/>
        <w:jc w:val="both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3"/>
        <w:ind w:left="269"/>
        <w:jc w:val="both"/>
      </w:pPr>
      <w:r>
        <w:rPr>
          <w:color w:val="231F20"/>
          <w:spacing w:val="10"/>
        </w:rPr>
        <w:t>深入全市</w:t>
      </w:r>
      <w:r>
        <w:rPr>
          <w:rFonts w:ascii="Times New Roman" w:eastAsia="Times New Roman"/>
          <w:color w:val="231F20"/>
        </w:rPr>
        <w:t>15 </w:t>
      </w:r>
      <w:r>
        <w:rPr>
          <w:color w:val="231F20"/>
          <w:spacing w:val="-40"/>
        </w:rPr>
        <w:t>个乡镇、</w:t>
      </w:r>
      <w:r>
        <w:rPr>
          <w:rFonts w:ascii="Times New Roman" w:eastAsia="Times New Roman"/>
          <w:color w:val="231F20"/>
        </w:rPr>
        <w:t>56 </w:t>
      </w:r>
      <w:r>
        <w:rPr>
          <w:color w:val="231F20"/>
          <w:spacing w:val="-12"/>
        </w:rPr>
        <w:t>个村现场指导督促，目前</w:t>
      </w:r>
      <w:r>
        <w:rPr>
          <w:rFonts w:ascii="Times New Roman" w:eastAsia="Times New Roman"/>
          <w:color w:val="231F20"/>
        </w:rPr>
        <w:t>18 </w:t>
      </w:r>
      <w:r>
        <w:rPr>
          <w:color w:val="231F20"/>
        </w:rPr>
        <w:t>个问题全部完</w:t>
      </w:r>
    </w:p>
    <w:p>
      <w:pPr>
        <w:pStyle w:val="BodyText"/>
        <w:spacing w:line="300" w:lineRule="auto" w:before="101"/>
        <w:ind w:left="269" w:right="266"/>
        <w:jc w:val="both"/>
      </w:pPr>
      <w:r>
        <w:rPr>
          <w:color w:val="231F20"/>
          <w:spacing w:val="-2"/>
        </w:rPr>
        <w:t>成整改，移送纪委问题线索</w:t>
      </w:r>
      <w:r>
        <w:rPr>
          <w:rFonts w:ascii="Times New Roman" w:hAnsi="Times New Roman" w:eastAsia="Times New Roman"/>
          <w:color w:val="231F20"/>
        </w:rPr>
        <w:t>17 </w:t>
      </w:r>
      <w:r>
        <w:rPr>
          <w:color w:val="231F20"/>
          <w:spacing w:val="9"/>
        </w:rPr>
        <w:t>个。四是财会监督更加深入。认</w:t>
      </w:r>
      <w:r>
        <w:rPr>
          <w:color w:val="231F20"/>
          <w:spacing w:val="-8"/>
        </w:rPr>
        <w:t>真落实习近平总书记关于财会监督的重要论述，依法履行财会监</w:t>
      </w:r>
      <w:r>
        <w:rPr>
          <w:color w:val="231F20"/>
          <w:spacing w:val="-22"/>
        </w:rPr>
        <w:t>督主责，加大预算管理、国库管理、政府债务风险防范、基层“三</w:t>
      </w:r>
      <w:r>
        <w:rPr>
          <w:color w:val="231F20"/>
          <w:spacing w:val="-24"/>
        </w:rPr>
        <w:t>保”等重点方面的监督检查力度，提高监管工作成效，在规范财政</w:t>
      </w:r>
      <w:r>
        <w:rPr>
          <w:color w:val="231F20"/>
          <w:spacing w:val="-13"/>
        </w:rPr>
        <w:t>财务管理、提高会计信息质量、维护财经纪律和市场经济秩序等方面发挥重要保障作用。</w:t>
      </w:r>
    </w:p>
    <w:p>
      <w:pPr>
        <w:pStyle w:val="BodyText"/>
        <w:spacing w:line="300" w:lineRule="auto"/>
        <w:ind w:left="269" w:right="266" w:firstLine="536"/>
        <w:jc w:val="both"/>
      </w:pPr>
      <w:r>
        <w:rPr>
          <w:rFonts w:ascii="楷体_GB2312" w:hAnsi="楷体_GB2312" w:eastAsia="楷体_GB2312" w:hint="eastAsia"/>
          <w:color w:val="231F20"/>
          <w:spacing w:val="-43"/>
        </w:rPr>
        <w:t>（七</w:t>
      </w:r>
      <w:r>
        <w:rPr>
          <w:rFonts w:ascii="楷体_GB2312" w:hAnsi="楷体_GB2312" w:eastAsia="楷体_GB2312" w:hint="eastAsia"/>
          <w:color w:val="231F20"/>
          <w:spacing w:val="-115"/>
        </w:rPr>
        <w:t>）</w:t>
      </w:r>
      <w:r>
        <w:rPr>
          <w:rFonts w:ascii="楷体_GB2312" w:hAnsi="楷体_GB2312" w:eastAsia="楷体_GB2312" w:hint="eastAsia"/>
          <w:color w:val="231F20"/>
          <w:spacing w:val="-14"/>
        </w:rPr>
        <w:t>坚持强基固本，队伍素质整体提升。</w:t>
      </w:r>
      <w:r>
        <w:rPr>
          <w:color w:val="231F20"/>
        </w:rPr>
        <w:t>以能力作风建设提</w:t>
      </w:r>
      <w:r>
        <w:rPr>
          <w:color w:val="231F20"/>
          <w:spacing w:val="-32"/>
        </w:rPr>
        <w:t>升为目标，认真落实河南省“人人持证，技能河南”要求，把持证上</w:t>
      </w:r>
      <w:r>
        <w:rPr>
          <w:color w:val="231F20"/>
          <w:spacing w:val="-13"/>
        </w:rPr>
        <w:t>岗作为提升队伍素质的有力抓手，连续三年来，全系统共有</w:t>
      </w:r>
      <w:r>
        <w:rPr>
          <w:rFonts w:ascii="Times New Roman" w:hAnsi="Times New Roman" w:eastAsia="Times New Roman"/>
          <w:color w:val="231F20"/>
        </w:rPr>
        <w:t>30 </w:t>
      </w:r>
      <w:r>
        <w:rPr>
          <w:color w:val="231F20"/>
        </w:rPr>
        <w:t>余</w:t>
      </w:r>
      <w:r>
        <w:rPr>
          <w:color w:val="231F20"/>
          <w:spacing w:val="-12"/>
        </w:rPr>
        <w:t>人取得了初级或中级资格证书，干部业务能力全面提升。大力倡</w:t>
      </w:r>
      <w:r>
        <w:rPr>
          <w:color w:val="231F20"/>
          <w:spacing w:val="-34"/>
        </w:rPr>
        <w:t>树“有为才有位”</w:t>
      </w:r>
      <w:r>
        <w:rPr>
          <w:color w:val="231F20"/>
          <w:spacing w:val="-319"/>
        </w:rPr>
        <w:t>、</w:t>
      </w:r>
      <w:r>
        <w:rPr>
          <w:color w:val="231F20"/>
          <w:spacing w:val="-13"/>
        </w:rPr>
        <w:t>“不让实干者吃亏”的用人导向，一大批年轻干部走上了中层领导岗位，财政干部的整体素质得到了极大提升。</w:t>
      </w:r>
    </w:p>
    <w:p>
      <w:pPr>
        <w:pStyle w:val="BodyText"/>
        <w:spacing w:line="300" w:lineRule="auto"/>
        <w:ind w:left="269" w:right="61" w:firstLine="651"/>
      </w:pPr>
      <w:r>
        <w:rPr>
          <w:rFonts w:ascii="Times New Roman" w:eastAsia="Times New Roman"/>
          <w:color w:val="231F20"/>
        </w:rPr>
        <w:t>2024 </w:t>
      </w:r>
      <w:r>
        <w:rPr>
          <w:color w:val="231F20"/>
          <w:spacing w:val="-7"/>
        </w:rPr>
        <w:t>年，市财政部门自觉接受市人大、市政协和社会监督， </w:t>
      </w:r>
      <w:r>
        <w:rPr>
          <w:color w:val="231F20"/>
          <w:spacing w:val="-10"/>
        </w:rPr>
        <w:t>积极解决社会反映的财政方面问题，主办灵宝市级人大代表建议 </w:t>
      </w:r>
      <w:r>
        <w:rPr>
          <w:rFonts w:ascii="Times New Roman" w:eastAsia="Times New Roman"/>
          <w:color w:val="231F20"/>
          <w:spacing w:val="-10"/>
        </w:rPr>
        <w:t>3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17"/>
        </w:rPr>
        <w:t>件、政协提案</w:t>
      </w:r>
      <w:r>
        <w:rPr>
          <w:rFonts w:ascii="Times New Roman" w:eastAsia="Times New Roman"/>
          <w:color w:val="231F20"/>
        </w:rPr>
        <w:t>4 </w:t>
      </w:r>
      <w:r>
        <w:rPr>
          <w:color w:val="231F20"/>
          <w:spacing w:val="-8"/>
        </w:rPr>
        <w:t>件，协办灵宝市级人大代表建议</w:t>
      </w:r>
      <w:r>
        <w:rPr>
          <w:rFonts w:ascii="Times New Roman" w:eastAsia="Times New Roman"/>
          <w:color w:val="231F20"/>
        </w:rPr>
        <w:t>1 </w:t>
      </w:r>
      <w:r>
        <w:rPr>
          <w:color w:val="231F20"/>
          <w:spacing w:val="-17"/>
        </w:rPr>
        <w:t>件、政协提案</w:t>
      </w:r>
      <w:r>
        <w:rPr>
          <w:rFonts w:ascii="Times New Roman" w:eastAsia="Times New Roman"/>
          <w:color w:val="231F20"/>
        </w:rPr>
        <w:t>3 </w:t>
      </w:r>
      <w:r>
        <w:rPr>
          <w:color w:val="231F20"/>
          <w:spacing w:val="-19"/>
        </w:rPr>
        <w:t>件，已全部办结，办复率与代表满意率均达</w:t>
      </w:r>
      <w:r>
        <w:rPr>
          <w:rFonts w:ascii="Times New Roman" w:eastAsia="Times New Roman"/>
          <w:color w:val="231F20"/>
        </w:rPr>
        <w:t>100%</w:t>
      </w:r>
      <w:r>
        <w:rPr>
          <w:color w:val="231F20"/>
        </w:rPr>
        <w:t>。</w:t>
      </w:r>
    </w:p>
    <w:p>
      <w:pPr>
        <w:pStyle w:val="BodyText"/>
        <w:spacing w:line="295" w:lineRule="auto"/>
        <w:ind w:left="269" w:right="266" w:firstLine="651"/>
        <w:jc w:val="both"/>
      </w:pPr>
      <w:r>
        <w:rPr>
          <w:color w:val="231F20"/>
          <w:spacing w:val="-14"/>
        </w:rPr>
        <w:t>回顾过去的一年，财政工作主动站位不缺位，在取得上述成绩的同时，财政部门坚决落实上级决策部署，在全力支持我市国</w:t>
      </w:r>
      <w:r>
        <w:rPr>
          <w:color w:val="231F20"/>
          <w:spacing w:val="-12"/>
        </w:rPr>
        <w:t>企制度改革、化解政府债务风险、棚户区改造等方面做了大量的</w:t>
      </w:r>
      <w:r>
        <w:rPr>
          <w:color w:val="231F20"/>
          <w:spacing w:val="-26"/>
        </w:rPr>
        <w:t>工作，为全市统筹发展提供了强有力的保障，这是市委、市政府坚</w:t>
      </w:r>
      <w:r>
        <w:rPr>
          <w:color w:val="231F20"/>
          <w:spacing w:val="-28"/>
        </w:rPr>
        <w:t>强领导的结果，是全市上下</w:t>
      </w:r>
      <w:r>
        <w:rPr>
          <w:rFonts w:ascii="方正仿宋_GBK" w:eastAsia="方正仿宋_GBK" w:hint="eastAsia"/>
          <w:color w:val="231F20"/>
        </w:rPr>
        <w:t>勠</w:t>
      </w:r>
      <w:r>
        <w:rPr>
          <w:color w:val="231F20"/>
          <w:spacing w:val="-24"/>
        </w:rPr>
        <w:t>力同心、接续奋斗的结果，也是各位</w:t>
      </w:r>
    </w:p>
    <w:p>
      <w:pPr>
        <w:pStyle w:val="BodyText"/>
        <w:spacing w:line="324" w:lineRule="exact"/>
        <w:ind w:left="269"/>
      </w:pPr>
      <w:r>
        <w:rPr>
          <w:color w:val="231F20"/>
        </w:rPr>
        <w:t>人大代表、政协委员监督指导、大力支持的结果。</w:t>
      </w:r>
    </w:p>
    <w:p>
      <w:pPr>
        <w:pStyle w:val="BodyText"/>
        <w:spacing w:before="68"/>
        <w:ind w:left="921"/>
      </w:pPr>
      <w:r>
        <w:rPr>
          <w:color w:val="231F20"/>
        </w:rPr>
        <w:t>同时，我们清醒地看到，当前财政运行和预算管理工作还面</w:t>
      </w:r>
    </w:p>
    <w:p>
      <w:pPr>
        <w:spacing w:after="0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0" w:right="153"/>
        <w:jc w:val="both"/>
      </w:pPr>
      <w:r>
        <w:rPr>
          <w:color w:val="231F20"/>
          <w:spacing w:val="-13"/>
        </w:rPr>
        <w:t>临一些困难和问题，一是财政收支矛盾异常突出，面对困难前所</w:t>
      </w:r>
      <w:r>
        <w:rPr>
          <w:color w:val="231F20"/>
          <w:spacing w:val="-1"/>
        </w:rPr>
        <w:t>未有</w:t>
      </w:r>
      <w:r>
        <w:rPr>
          <w:color w:val="231F20"/>
          <w:spacing w:val="-34"/>
        </w:rPr>
        <w:t>“，三保”支出、债务还本付息、重点领域项目资金需求不断加</w:t>
      </w:r>
      <w:r>
        <w:rPr>
          <w:color w:val="231F20"/>
          <w:spacing w:val="-26"/>
        </w:rPr>
        <w:t>大，财政收支平衡压力更大；二是财政资金使用管理有待加强，资</w:t>
      </w:r>
      <w:r>
        <w:rPr>
          <w:color w:val="231F20"/>
          <w:spacing w:val="-23"/>
        </w:rPr>
        <w:t>金使用效益还有提升空间，部分单位绩效意识和过紧日子理念尚</w:t>
      </w:r>
      <w:r>
        <w:rPr>
          <w:color w:val="231F20"/>
          <w:spacing w:val="-14"/>
        </w:rPr>
        <w:t>未树牢，仍存在超范围超标准列支会议费培训费、超标准配置资</w:t>
      </w:r>
      <w:r>
        <w:rPr>
          <w:color w:val="231F20"/>
          <w:spacing w:val="-22"/>
        </w:rPr>
        <w:t>产等现象。对此，将认真研究，积极采取有效措施切实加以解决。</w:t>
      </w:r>
    </w:p>
    <w:p>
      <w:pPr>
        <w:pStyle w:val="BodyText"/>
        <w:spacing w:line="398" w:lineRule="exact"/>
        <w:ind w:left="922"/>
        <w:rPr>
          <w:rFonts w:ascii="黑体" w:eastAsia="黑体" w:hint="eastAsia"/>
        </w:rPr>
      </w:pPr>
      <w:r>
        <w:rPr>
          <w:rFonts w:ascii="黑体" w:eastAsia="黑体" w:hint="eastAsia"/>
          <w:color w:val="231F20"/>
          <w:spacing w:val="-80"/>
        </w:rPr>
        <w:t>三、</w:t>
      </w:r>
      <w:r>
        <w:rPr>
          <w:rFonts w:ascii="Times New Roman" w:eastAsia="Times New Roman"/>
          <w:color w:val="231F20"/>
        </w:rPr>
        <w:t>2025 </w:t>
      </w:r>
      <w:r>
        <w:rPr>
          <w:rFonts w:ascii="黑体" w:eastAsia="黑体" w:hint="eastAsia"/>
          <w:color w:val="231F20"/>
          <w:spacing w:val="-33"/>
        </w:rPr>
        <w:t>年财政预算</w:t>
      </w:r>
      <w:r>
        <w:rPr>
          <w:rFonts w:ascii="黑体" w:eastAsia="黑体" w:hint="eastAsia"/>
          <w:color w:val="231F20"/>
        </w:rPr>
        <w:t>（草案）</w:t>
      </w:r>
    </w:p>
    <w:p>
      <w:pPr>
        <w:pStyle w:val="BodyText"/>
        <w:spacing w:line="300" w:lineRule="auto" w:before="101"/>
        <w:ind w:left="270" w:right="269" w:firstLine="651"/>
        <w:jc w:val="both"/>
      </w:pPr>
      <w:r>
        <w:rPr>
          <w:rFonts w:ascii="Times New Roman" w:hAnsi="Times New Roman" w:eastAsia="Times New Roman"/>
          <w:color w:val="231F20"/>
        </w:rPr>
        <w:t>2025 </w:t>
      </w:r>
      <w:r>
        <w:rPr>
          <w:color w:val="231F20"/>
          <w:spacing w:val="4"/>
        </w:rPr>
        <w:t>年是全面贯彻落实党的二十届三中全会精神、进一步</w:t>
      </w:r>
      <w:r>
        <w:rPr>
          <w:color w:val="231F20"/>
          <w:spacing w:val="-24"/>
        </w:rPr>
        <w:t>全面深化改革的关键之年，也是全面落实“十四五”规划的收官之</w:t>
      </w:r>
      <w:r>
        <w:rPr>
          <w:color w:val="231F20"/>
          <w:spacing w:val="-25"/>
        </w:rPr>
        <w:t>年，做好财政工作，对于巩固我市经济回升的向好态势，增进民生</w:t>
      </w:r>
      <w:r>
        <w:rPr>
          <w:color w:val="231F20"/>
          <w:spacing w:val="-21"/>
        </w:rPr>
        <w:t>福祉，保持社会和谐稳定，人民幸福安康具有十分重要的意义。</w:t>
      </w:r>
    </w:p>
    <w:p>
      <w:pPr>
        <w:pStyle w:val="BodyText"/>
        <w:spacing w:line="300" w:lineRule="auto"/>
        <w:ind w:left="270" w:right="269" w:firstLine="651"/>
        <w:jc w:val="both"/>
      </w:pPr>
      <w:r>
        <w:rPr>
          <w:rFonts w:ascii="Times New Roman" w:eastAsia="Times New Roman"/>
          <w:color w:val="231F20"/>
        </w:rPr>
        <w:t>2025 </w:t>
      </w:r>
      <w:r>
        <w:rPr>
          <w:color w:val="231F20"/>
          <w:spacing w:val="5"/>
        </w:rPr>
        <w:t>年全市财政经济形势减收压力和增收潜力并存。从有</w:t>
      </w:r>
      <w:r>
        <w:rPr>
          <w:color w:val="231F20"/>
          <w:spacing w:val="-14"/>
        </w:rPr>
        <w:t>利形势分析，国家出台的各项政策对基层不断倾斜，我市前瞻性</w:t>
      </w:r>
      <w:r>
        <w:rPr>
          <w:color w:val="231F20"/>
          <w:spacing w:val="-13"/>
        </w:rPr>
        <w:t>战略眼光想问题、作决策、抓发展使得经济回升向好的趋势不断巩固和加强，项目建设、产业升级积势蓄能效应凸显。从不利形</w:t>
      </w:r>
      <w:r>
        <w:rPr>
          <w:color w:val="231F20"/>
          <w:spacing w:val="-26"/>
        </w:rPr>
        <w:t>势看，内外部环境复杂，各种超预期因素随时可能发生；房地产市</w:t>
      </w:r>
      <w:r>
        <w:rPr>
          <w:color w:val="231F20"/>
          <w:spacing w:val="-13"/>
        </w:rPr>
        <w:t>场恢复较慢，带来较大减收影响。综合分析各方面因素，根据市</w:t>
      </w:r>
      <w:r>
        <w:rPr>
          <w:color w:val="231F20"/>
          <w:spacing w:val="-28"/>
        </w:rPr>
        <w:t>委、市政府工作部署，</w:t>
      </w:r>
      <w:r>
        <w:rPr>
          <w:rFonts w:ascii="Times New Roman" w:eastAsia="Times New Roman"/>
          <w:color w:val="231F20"/>
        </w:rPr>
        <w:t>2025 </w:t>
      </w:r>
      <w:r>
        <w:rPr>
          <w:color w:val="231F20"/>
          <w:spacing w:val="5"/>
        </w:rPr>
        <w:t>年全市一般公共预算收入增长预期目</w:t>
      </w:r>
      <w:r>
        <w:rPr>
          <w:color w:val="231F20"/>
          <w:spacing w:val="28"/>
        </w:rPr>
        <w:t>标为</w:t>
      </w:r>
      <w:r>
        <w:rPr>
          <w:rFonts w:ascii="Times New Roman" w:eastAsia="Times New Roman"/>
          <w:color w:val="231F20"/>
          <w:spacing w:val="4"/>
        </w:rPr>
        <w:t>5%</w:t>
      </w:r>
      <w:r>
        <w:rPr>
          <w:color w:val="231F20"/>
          <w:spacing w:val="-18"/>
        </w:rPr>
        <w:t>。这一目标是市委、市政府科学研判的结果，是积极、符</w:t>
      </w:r>
      <w:r>
        <w:rPr>
          <w:color w:val="231F20"/>
          <w:spacing w:val="-13"/>
        </w:rPr>
        <w:t>合我市实际的，各乡镇也要根据本地经济社会发展实际、实事求是确定收入目标。</w:t>
      </w:r>
    </w:p>
    <w:p>
      <w:pPr>
        <w:spacing w:line="390" w:lineRule="exact" w:before="0"/>
        <w:ind w:left="806" w:right="0" w:firstLine="0"/>
        <w:jc w:val="left"/>
        <w:rPr>
          <w:rFonts w:ascii="楷体_GB2312" w:eastAsia="楷体_GB2312" w:hint="eastAsia"/>
          <w:sz w:val="32"/>
        </w:rPr>
      </w:pPr>
      <w:r>
        <w:rPr>
          <w:rFonts w:ascii="楷体_GB2312" w:eastAsia="楷体_GB2312" w:hint="eastAsia"/>
          <w:color w:val="231F20"/>
          <w:sz w:val="32"/>
        </w:rPr>
        <w:t>（一）</w:t>
      </w:r>
      <w:r>
        <w:rPr>
          <w:rFonts w:ascii="Times New Roman" w:eastAsia="Times New Roman"/>
          <w:b/>
          <w:color w:val="231F20"/>
          <w:sz w:val="32"/>
        </w:rPr>
        <w:t>2025 </w:t>
      </w:r>
      <w:r>
        <w:rPr>
          <w:rFonts w:ascii="楷体_GB2312" w:eastAsia="楷体_GB2312" w:hint="eastAsia"/>
          <w:color w:val="231F20"/>
          <w:sz w:val="32"/>
        </w:rPr>
        <w:t>年财政工作指导思想</w:t>
      </w:r>
    </w:p>
    <w:p>
      <w:pPr>
        <w:pStyle w:val="BodyText"/>
        <w:spacing w:line="300" w:lineRule="auto" w:before="92"/>
        <w:ind w:left="270" w:right="269" w:firstLine="651"/>
        <w:rPr>
          <w:rFonts w:ascii="楷体_GB2312" w:eastAsia="楷体_GB2312" w:hint="eastAsia"/>
        </w:rPr>
      </w:pPr>
      <w:r>
        <w:rPr>
          <w:color w:val="231F20"/>
          <w:spacing w:val="-11"/>
        </w:rPr>
        <w:t>根据市委对全市工作的总体部署，全市财政工作的指导思想</w:t>
      </w:r>
      <w:r>
        <w:rPr>
          <w:color w:val="231F20"/>
          <w:spacing w:val="-74"/>
        </w:rPr>
        <w:t>是：</w:t>
      </w:r>
      <w:r>
        <w:rPr>
          <w:rFonts w:ascii="楷体_GB2312" w:eastAsia="楷体_GB2312" w:hint="eastAsia"/>
          <w:color w:val="231F20"/>
          <w:spacing w:val="-1"/>
        </w:rPr>
        <w:t>以习近平新时代中国特色社会主义思想为指导，全面贯彻党</w:t>
      </w:r>
    </w:p>
    <w:p>
      <w:pPr>
        <w:spacing w:after="0" w:line="300" w:lineRule="auto"/>
        <w:rPr>
          <w:rFonts w:ascii="楷体_GB2312" w:eastAsia="楷体_GB2312" w:hint="eastAsia"/>
        </w:rPr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rFonts w:ascii="楷体_GB2312"/>
          <w:sz w:val="20"/>
        </w:rPr>
      </w:pPr>
    </w:p>
    <w:p>
      <w:pPr>
        <w:pStyle w:val="BodyText"/>
        <w:rPr>
          <w:rFonts w:ascii="楷体_GB2312"/>
          <w:sz w:val="20"/>
        </w:rPr>
      </w:pPr>
    </w:p>
    <w:p>
      <w:pPr>
        <w:pStyle w:val="BodyText"/>
        <w:spacing w:line="300" w:lineRule="auto" w:before="223"/>
        <w:ind w:left="271" w:right="109"/>
        <w:rPr>
          <w:rFonts w:ascii="楷体_GB2312" w:hAnsi="楷体_GB2312" w:eastAsia="楷体_GB2312" w:hint="eastAsia"/>
        </w:rPr>
      </w:pPr>
      <w:r>
        <w:rPr>
          <w:rFonts w:ascii="楷体_GB2312" w:hAnsi="楷体_GB2312" w:eastAsia="楷体_GB2312" w:hint="eastAsia"/>
          <w:color w:val="231F20"/>
          <w:spacing w:val="-13"/>
        </w:rPr>
        <w:t>的二十大和二十届二中、三中全会以及中央省市经济工作会议精</w:t>
      </w:r>
      <w:r>
        <w:rPr>
          <w:rFonts w:ascii="楷体_GB2312" w:hAnsi="楷体_GB2312" w:eastAsia="楷体_GB2312" w:hint="eastAsia"/>
          <w:color w:val="231F20"/>
          <w:spacing w:val="-17"/>
        </w:rPr>
        <w:t>神，按照市委、市政府重大决策部署，坚持稳中求进工作总基调， </w:t>
      </w:r>
      <w:r>
        <w:rPr>
          <w:rFonts w:ascii="楷体_GB2312" w:hAnsi="楷体_GB2312" w:eastAsia="楷体_GB2312" w:hint="eastAsia"/>
          <w:color w:val="231F20"/>
          <w:spacing w:val="-12"/>
        </w:rPr>
        <w:t>完整准确全面贯彻新发展理念，抢抓加快构建新发展格局战略机</w:t>
      </w:r>
      <w:r>
        <w:rPr>
          <w:rFonts w:ascii="楷体_GB2312" w:hAnsi="楷体_GB2312" w:eastAsia="楷体_GB2312" w:hint="eastAsia"/>
          <w:color w:val="231F20"/>
          <w:spacing w:val="-24"/>
        </w:rPr>
        <w:t>遇，扎实推动高质量发展；更好统筹发展和安全，实施更加积极的</w:t>
      </w:r>
      <w:r>
        <w:rPr>
          <w:rFonts w:ascii="楷体_GB2312" w:hAnsi="楷体_GB2312" w:eastAsia="楷体_GB2312" w:hint="eastAsia"/>
          <w:color w:val="231F20"/>
          <w:spacing w:val="-22"/>
        </w:rPr>
        <w:t>财政政策，坚持“紧日子保基本、调结构保战略”，大力优化支出</w:t>
      </w:r>
      <w:r>
        <w:rPr>
          <w:rFonts w:ascii="楷体_GB2312" w:hAnsi="楷体_GB2312" w:eastAsia="楷体_GB2312" w:hint="eastAsia"/>
          <w:color w:val="231F20"/>
          <w:spacing w:val="-34"/>
        </w:rPr>
        <w:t>结构，兜牢基层“三保”底线；加强地方政府债务管理，防范化解风</w:t>
      </w:r>
      <w:r>
        <w:rPr>
          <w:rFonts w:ascii="楷体_GB2312" w:hAnsi="楷体_GB2312" w:eastAsia="楷体_GB2312" w:hint="eastAsia"/>
          <w:color w:val="231F20"/>
          <w:spacing w:val="-26"/>
        </w:rPr>
        <w:t>险，提高财政资金绩效，严肃财经纪律，巩固和增强经济稳中向好态势，增进民生福祉，保持社会稳定，为加快和推进我市县域经济</w:t>
      </w:r>
      <w:r>
        <w:rPr>
          <w:rFonts w:ascii="楷体_GB2312" w:hAnsi="楷体_GB2312" w:eastAsia="楷体_GB2312" w:hint="eastAsia"/>
          <w:color w:val="231F20"/>
          <w:spacing w:val="-22"/>
        </w:rPr>
        <w:t>高质量发展和“冲刺全国百强县”加力增效。</w:t>
      </w:r>
    </w:p>
    <w:p>
      <w:pPr>
        <w:pStyle w:val="BodyText"/>
        <w:spacing w:line="392" w:lineRule="exact"/>
        <w:ind w:left="807"/>
        <w:rPr>
          <w:rFonts w:ascii="楷体_GB2312" w:eastAsia="楷体_GB2312" w:hint="eastAsia"/>
        </w:rPr>
      </w:pPr>
      <w:r>
        <w:rPr>
          <w:rFonts w:ascii="楷体_GB2312" w:eastAsia="楷体_GB2312" w:hint="eastAsia"/>
          <w:color w:val="231F20"/>
          <w:spacing w:val="-45"/>
        </w:rPr>
        <w:t>（</w:t>
      </w:r>
      <w:r>
        <w:rPr>
          <w:rFonts w:ascii="楷体_GB2312" w:eastAsia="楷体_GB2312" w:hint="eastAsia"/>
          <w:color w:val="231F20"/>
          <w:spacing w:val="-44"/>
        </w:rPr>
        <w:t>二</w:t>
      </w:r>
      <w:r>
        <w:rPr>
          <w:rFonts w:ascii="楷体_GB2312" w:eastAsia="楷体_GB2312" w:hint="eastAsia"/>
          <w:color w:val="231F20"/>
          <w:spacing w:val="-117"/>
        </w:rPr>
        <w:t>）</w:t>
      </w:r>
      <w:r>
        <w:rPr>
          <w:rFonts w:ascii="楷体_GB2312" w:eastAsia="楷体_GB2312" w:hint="eastAsia"/>
          <w:color w:val="231F20"/>
        </w:rPr>
        <w:t>财政收支安排意见</w:t>
      </w:r>
    </w:p>
    <w:p>
      <w:pPr>
        <w:pStyle w:val="BodyText"/>
        <w:spacing w:before="101"/>
        <w:ind w:left="923"/>
      </w:pPr>
      <w:r>
        <w:rPr>
          <w:rFonts w:ascii="Times New Roman" w:eastAsia="Times New Roman"/>
          <w:b/>
          <w:color w:val="231F20"/>
        </w:rPr>
        <w:t>1</w:t>
      </w:r>
      <w:r>
        <w:rPr>
          <w:color w:val="231F20"/>
        </w:rPr>
        <w:t>、一般公共预算</w:t>
      </w:r>
    </w:p>
    <w:p>
      <w:pPr>
        <w:pStyle w:val="BodyText"/>
        <w:spacing w:before="100"/>
        <w:ind w:left="923"/>
      </w:pPr>
      <w:r>
        <w:rPr>
          <w:color w:val="231F20"/>
          <w:spacing w:val="35"/>
        </w:rPr>
        <w:t>汇总全市一般公共预算情况。全市一般公共预算收入</w:t>
      </w:r>
    </w:p>
    <w:p>
      <w:pPr>
        <w:pStyle w:val="BodyText"/>
        <w:spacing w:before="101"/>
        <w:ind w:left="271"/>
      </w:pPr>
      <w:r>
        <w:rPr>
          <w:rFonts w:ascii="Times New Roman" w:eastAsia="Times New Roman"/>
          <w:color w:val="231F20"/>
        </w:rPr>
        <w:t>300826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21"/>
        </w:rPr>
        <w:t>万元，增长</w:t>
      </w:r>
      <w:r>
        <w:rPr>
          <w:rFonts w:ascii="Times New Roman" w:eastAsia="Times New Roman"/>
          <w:color w:val="231F20"/>
        </w:rPr>
        <w:t>5</w:t>
      </w:r>
      <w:r>
        <w:rPr>
          <w:rFonts w:ascii="Times New Roman" w:eastAsia="Times New Roman"/>
          <w:color w:val="231F20"/>
          <w:spacing w:val="4"/>
        </w:rPr>
        <w:t>%</w:t>
      </w:r>
      <w:r>
        <w:rPr>
          <w:color w:val="231F20"/>
          <w:spacing w:val="-11"/>
        </w:rPr>
        <w:t>，加上上级补助收入</w:t>
      </w:r>
      <w:r>
        <w:rPr>
          <w:rFonts w:ascii="Times New Roman" w:eastAsia="Times New Roman"/>
          <w:color w:val="231F20"/>
        </w:rPr>
        <w:t>130650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21"/>
        </w:rPr>
        <w:t>万元，上年结余</w:t>
      </w:r>
    </w:p>
    <w:p>
      <w:pPr>
        <w:pStyle w:val="BodyText"/>
        <w:spacing w:before="100"/>
        <w:ind w:left="271"/>
      </w:pPr>
      <w:r>
        <w:rPr>
          <w:color w:val="231F20"/>
          <w:spacing w:val="-24"/>
        </w:rPr>
        <w:t>收入 </w:t>
      </w:r>
      <w:r>
        <w:rPr>
          <w:rFonts w:ascii="Times New Roman" w:eastAsia="Times New Roman"/>
          <w:color w:val="231F20"/>
        </w:rPr>
        <w:t>65439</w:t>
      </w:r>
      <w:r>
        <w:rPr>
          <w:rFonts w:ascii="Times New Roman" w:eastAsia="Times New Roman"/>
          <w:color w:val="231F20"/>
          <w:spacing w:val="-15"/>
        </w:rPr>
        <w:t> </w:t>
      </w:r>
      <w:r>
        <w:rPr>
          <w:color w:val="231F20"/>
          <w:spacing w:val="4"/>
        </w:rPr>
        <w:t>万元，统筹调入政府性基金、国有资本经营预算等</w:t>
      </w:r>
    </w:p>
    <w:p>
      <w:pPr>
        <w:pStyle w:val="BodyText"/>
        <w:spacing w:before="101"/>
        <w:ind w:left="271"/>
        <w:rPr>
          <w:rFonts w:ascii="Times New Roman" w:eastAsia="Times New Roman"/>
        </w:rPr>
      </w:pPr>
      <w:r>
        <w:rPr>
          <w:rFonts w:ascii="Times New Roman" w:eastAsia="Times New Roman"/>
          <w:color w:val="231F20"/>
        </w:rPr>
        <w:t>87602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2"/>
        </w:rPr>
        <w:t>万元，动用预算稳定调节基金</w:t>
      </w:r>
      <w:r>
        <w:rPr>
          <w:rFonts w:ascii="Times New Roman" w:eastAsia="Times New Roman"/>
          <w:color w:val="231F20"/>
        </w:rPr>
        <w:t>35417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8"/>
        </w:rPr>
        <w:t>万元，收入总计</w:t>
      </w:r>
      <w:r>
        <w:rPr>
          <w:rFonts w:ascii="Times New Roman" w:eastAsia="Times New Roman"/>
          <w:color w:val="231F20"/>
        </w:rPr>
        <w:t>619934</w:t>
      </w:r>
    </w:p>
    <w:p>
      <w:pPr>
        <w:pStyle w:val="BodyText"/>
        <w:spacing w:before="100"/>
        <w:ind w:left="271"/>
        <w:rPr>
          <w:rFonts w:ascii="Times New Roman" w:eastAsia="Times New Roman"/>
        </w:rPr>
      </w:pPr>
      <w:r>
        <w:rPr>
          <w:color w:val="231F20"/>
          <w:spacing w:val="6"/>
        </w:rPr>
        <w:t>万元。全市一般公共预算支出</w:t>
      </w:r>
      <w:r>
        <w:rPr>
          <w:rFonts w:ascii="Times New Roman" w:eastAsia="Times New Roman"/>
          <w:color w:val="231F20"/>
        </w:rPr>
        <w:t>554473</w:t>
      </w:r>
      <w:r>
        <w:rPr>
          <w:rFonts w:ascii="Times New Roman" w:eastAsia="Times New Roman"/>
          <w:color w:val="231F20"/>
          <w:spacing w:val="-37"/>
        </w:rPr>
        <w:t> </w:t>
      </w:r>
      <w:r>
        <w:rPr>
          <w:color w:val="231F20"/>
          <w:spacing w:val="-12"/>
        </w:rPr>
        <w:t>万元，上解上级支出</w:t>
      </w:r>
      <w:r>
        <w:rPr>
          <w:rFonts w:ascii="Times New Roman" w:eastAsia="Times New Roman"/>
          <w:color w:val="231F20"/>
        </w:rPr>
        <w:t>63100</w:t>
      </w:r>
    </w:p>
    <w:p>
      <w:pPr>
        <w:pStyle w:val="BodyText"/>
        <w:spacing w:line="300" w:lineRule="auto" w:before="101"/>
        <w:ind w:left="271" w:right="269"/>
      </w:pPr>
      <w:r>
        <w:rPr>
          <w:color w:val="231F20"/>
          <w:spacing w:val="-3"/>
        </w:rPr>
        <w:t>万元，一般债务还本支出</w:t>
      </w:r>
      <w:r>
        <w:rPr>
          <w:rFonts w:ascii="Times New Roman" w:eastAsia="Times New Roman"/>
          <w:color w:val="231F20"/>
        </w:rPr>
        <w:t>2100 </w:t>
      </w:r>
      <w:r>
        <w:rPr>
          <w:color w:val="231F20"/>
          <w:spacing w:val="-14"/>
        </w:rPr>
        <w:t>万元，补充预算稳定调节基金</w:t>
      </w:r>
      <w:r>
        <w:rPr>
          <w:color w:val="231F20"/>
          <w:spacing w:val="-34"/>
        </w:rPr>
        <w:t>（</w:t>
      </w:r>
      <w:r>
        <w:rPr>
          <w:color w:val="231F20"/>
        </w:rPr>
        <w:t>结</w:t>
      </w:r>
      <w:r>
        <w:rPr>
          <w:color w:val="231F20"/>
          <w:spacing w:val="-44"/>
        </w:rPr>
        <w:t>余</w:t>
      </w:r>
      <w:r>
        <w:rPr>
          <w:color w:val="231F20"/>
          <w:spacing w:val="-30"/>
        </w:rPr>
        <w:t>）</w:t>
      </w:r>
      <w:r>
        <w:rPr>
          <w:rFonts w:ascii="Times New Roman" w:eastAsia="Times New Roman"/>
          <w:color w:val="231F20"/>
          <w:spacing w:val="-30"/>
        </w:rPr>
        <w:t>261 </w:t>
      </w:r>
      <w:r>
        <w:rPr>
          <w:color w:val="231F20"/>
          <w:spacing w:val="-19"/>
        </w:rPr>
        <w:t>万元，支出总计</w:t>
      </w:r>
      <w:r>
        <w:rPr>
          <w:rFonts w:ascii="Times New Roman" w:eastAsia="Times New Roman"/>
          <w:color w:val="231F20"/>
        </w:rPr>
        <w:t>619934 </w:t>
      </w:r>
      <w:r>
        <w:rPr>
          <w:color w:val="231F20"/>
        </w:rPr>
        <w:t>万元。</w:t>
      </w:r>
    </w:p>
    <w:p>
      <w:pPr>
        <w:pStyle w:val="BodyText"/>
        <w:spacing w:line="406" w:lineRule="exact"/>
        <w:ind w:left="923"/>
      </w:pPr>
      <w:r>
        <w:rPr>
          <w:color w:val="231F20"/>
          <w:spacing w:val="21"/>
        </w:rPr>
        <w:t>市级一般公共预算情况。</w:t>
      </w:r>
      <w:r>
        <w:rPr>
          <w:rFonts w:ascii="Times New Roman" w:eastAsia="Times New Roman"/>
          <w:color w:val="231F20"/>
        </w:rPr>
        <w:t>2025</w:t>
      </w:r>
      <w:r>
        <w:rPr>
          <w:rFonts w:ascii="Times New Roman" w:eastAsia="Times New Roman"/>
          <w:color w:val="231F20"/>
          <w:spacing w:val="-19"/>
        </w:rPr>
        <w:t> </w:t>
      </w:r>
      <w:r>
        <w:rPr>
          <w:color w:val="231F20"/>
          <w:spacing w:val="19"/>
        </w:rPr>
        <w:t>年市级一般公共预算收入</w:t>
      </w:r>
    </w:p>
    <w:p>
      <w:pPr>
        <w:pStyle w:val="BodyText"/>
        <w:spacing w:before="100"/>
        <w:ind w:left="271"/>
      </w:pPr>
      <w:r>
        <w:rPr>
          <w:rFonts w:ascii="Times New Roman" w:eastAsia="Times New Roman"/>
          <w:color w:val="231F20"/>
        </w:rPr>
        <w:t>278989</w:t>
      </w:r>
      <w:r>
        <w:rPr>
          <w:rFonts w:ascii="Times New Roman" w:eastAsia="Times New Roman"/>
          <w:color w:val="231F20"/>
          <w:spacing w:val="-25"/>
        </w:rPr>
        <w:t> </w:t>
      </w:r>
      <w:r>
        <w:rPr>
          <w:color w:val="231F20"/>
        </w:rPr>
        <w:t>万元，上级补助收入</w:t>
      </w:r>
      <w:r>
        <w:rPr>
          <w:rFonts w:ascii="Times New Roman" w:eastAsia="Times New Roman"/>
          <w:color w:val="231F20"/>
        </w:rPr>
        <w:t>130650</w:t>
      </w:r>
      <w:r>
        <w:rPr>
          <w:rFonts w:ascii="Times New Roman" w:eastAsia="Times New Roman"/>
          <w:color w:val="231F20"/>
          <w:spacing w:val="-25"/>
        </w:rPr>
        <w:t> </w:t>
      </w:r>
      <w:r>
        <w:rPr>
          <w:color w:val="231F20"/>
        </w:rPr>
        <w:t>万元，下级上解收入</w:t>
      </w:r>
      <w:r>
        <w:rPr>
          <w:rFonts w:ascii="Times New Roman" w:eastAsia="Times New Roman"/>
          <w:color w:val="231F20"/>
        </w:rPr>
        <w:t>1589</w:t>
      </w:r>
      <w:r>
        <w:rPr>
          <w:rFonts w:ascii="Times New Roman" w:eastAsia="Times New Roman"/>
          <w:color w:val="231F20"/>
          <w:spacing w:val="-25"/>
        </w:rPr>
        <w:t> </w:t>
      </w:r>
      <w:r>
        <w:rPr>
          <w:color w:val="231F20"/>
        </w:rPr>
        <w:t>万</w:t>
      </w:r>
    </w:p>
    <w:p>
      <w:pPr>
        <w:pStyle w:val="BodyText"/>
        <w:spacing w:before="101"/>
        <w:ind w:left="271"/>
      </w:pPr>
      <w:r>
        <w:rPr>
          <w:color w:val="231F20"/>
          <w:spacing w:val="-12"/>
        </w:rPr>
        <w:t>元，上年结余收入</w:t>
      </w:r>
      <w:r>
        <w:rPr>
          <w:rFonts w:ascii="Times New Roman" w:eastAsia="Times New Roman"/>
          <w:color w:val="231F20"/>
        </w:rPr>
        <w:t>54948</w:t>
      </w:r>
      <w:r>
        <w:rPr>
          <w:rFonts w:ascii="Times New Roman" w:eastAsia="Times New Roman"/>
          <w:color w:val="231F20"/>
          <w:spacing w:val="-36"/>
        </w:rPr>
        <w:t> </w:t>
      </w:r>
      <w:r>
        <w:rPr>
          <w:color w:val="231F20"/>
          <w:spacing w:val="-18"/>
        </w:rPr>
        <w:t>万元，统筹调入政府性基金、国有资本经</w:t>
      </w:r>
    </w:p>
    <w:p>
      <w:pPr>
        <w:pStyle w:val="BodyText"/>
        <w:spacing w:before="100"/>
        <w:ind w:left="271"/>
      </w:pPr>
      <w:r>
        <w:rPr>
          <w:color w:val="231F20"/>
          <w:spacing w:val="10"/>
        </w:rPr>
        <w:t>营预算等</w:t>
      </w:r>
      <w:r>
        <w:rPr>
          <w:rFonts w:ascii="Times New Roman" w:eastAsia="Times New Roman"/>
          <w:color w:val="231F20"/>
        </w:rPr>
        <w:t>87602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2"/>
        </w:rPr>
        <w:t>万元，动用预算稳定调节基金</w:t>
      </w:r>
      <w:r>
        <w:rPr>
          <w:rFonts w:ascii="Times New Roman" w:eastAsia="Times New Roman"/>
          <w:color w:val="231F20"/>
        </w:rPr>
        <w:t>35417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27"/>
        </w:rPr>
        <w:t>万元，收入总</w:t>
      </w:r>
    </w:p>
    <w:p>
      <w:pPr>
        <w:pStyle w:val="BodyText"/>
        <w:spacing w:before="101"/>
        <w:ind w:left="271"/>
      </w:pPr>
      <w:r>
        <w:rPr>
          <w:color w:val="231F20"/>
          <w:spacing w:val="49"/>
        </w:rPr>
        <w:t>计</w:t>
      </w:r>
      <w:r>
        <w:rPr>
          <w:rFonts w:ascii="Times New Roman" w:eastAsia="Times New Roman"/>
          <w:color w:val="231F20"/>
        </w:rPr>
        <w:t>589195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12"/>
        </w:rPr>
        <w:t>万元。市级一般公共预算支出</w:t>
      </w:r>
      <w:r>
        <w:rPr>
          <w:rFonts w:ascii="Times New Roman" w:eastAsia="Times New Roman"/>
          <w:color w:val="231F20"/>
        </w:rPr>
        <w:t>516523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7"/>
        </w:rPr>
        <w:t>万元，上解上级</w:t>
      </w:r>
    </w:p>
    <w:p>
      <w:pPr>
        <w:pStyle w:val="BodyText"/>
        <w:spacing w:before="100"/>
        <w:ind w:left="271"/>
      </w:pPr>
      <w:r>
        <w:rPr>
          <w:color w:val="231F20"/>
          <w:spacing w:val="-25"/>
        </w:rPr>
        <w:t>支出 </w:t>
      </w:r>
      <w:r>
        <w:rPr>
          <w:rFonts w:ascii="Times New Roman" w:eastAsia="Times New Roman"/>
          <w:color w:val="231F20"/>
        </w:rPr>
        <w:t>63100</w:t>
      </w:r>
      <w:r>
        <w:rPr>
          <w:rFonts w:ascii="Times New Roman" w:eastAsia="Times New Roman"/>
          <w:color w:val="231F20"/>
          <w:spacing w:val="-17"/>
        </w:rPr>
        <w:t> </w:t>
      </w:r>
      <w:r>
        <w:rPr>
          <w:color w:val="231F20"/>
          <w:spacing w:val="-9"/>
        </w:rPr>
        <w:t>万元，补助下级支出 </w:t>
      </w:r>
      <w:r>
        <w:rPr>
          <w:rFonts w:ascii="Times New Roman" w:eastAsia="Times New Roman"/>
          <w:color w:val="231F20"/>
          <w:spacing w:val="-3"/>
        </w:rPr>
        <w:t>7211</w:t>
      </w:r>
      <w:r>
        <w:rPr>
          <w:rFonts w:ascii="Times New Roman" w:eastAsia="Times New Roman"/>
          <w:color w:val="231F20"/>
          <w:spacing w:val="-17"/>
        </w:rPr>
        <w:t> </w:t>
      </w:r>
      <w:r>
        <w:rPr>
          <w:color w:val="231F20"/>
          <w:spacing w:val="4"/>
        </w:rPr>
        <w:t>万元，一般债务还本支出</w:t>
      </w:r>
    </w:p>
    <w:p>
      <w:pPr>
        <w:spacing w:after="0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3"/>
        <w:ind w:left="270"/>
      </w:pPr>
      <w:r>
        <w:rPr>
          <w:rFonts w:ascii="Times New Roman" w:eastAsia="Times New Roman"/>
          <w:color w:val="231F20"/>
        </w:rPr>
        <w:t>2100 </w:t>
      </w:r>
      <w:r>
        <w:rPr>
          <w:color w:val="231F20"/>
        </w:rPr>
        <w:t>万元，补充预算稳定调节基金（结余）</w:t>
      </w:r>
      <w:r>
        <w:rPr>
          <w:rFonts w:ascii="Times New Roman" w:eastAsia="Times New Roman"/>
          <w:color w:val="231F20"/>
        </w:rPr>
        <w:t>261 </w:t>
      </w:r>
      <w:r>
        <w:rPr>
          <w:color w:val="231F20"/>
        </w:rPr>
        <w:t>万元，支出总计</w:t>
      </w:r>
    </w:p>
    <w:p>
      <w:pPr>
        <w:pStyle w:val="BodyText"/>
        <w:spacing w:before="101"/>
        <w:ind w:left="270"/>
      </w:pPr>
      <w:r>
        <w:rPr>
          <w:rFonts w:ascii="Times New Roman" w:eastAsia="Times New Roman"/>
          <w:color w:val="231F20"/>
        </w:rPr>
        <w:t>589195 </w:t>
      </w:r>
      <w:r>
        <w:rPr>
          <w:color w:val="231F20"/>
        </w:rPr>
        <w:t>万元。</w:t>
      </w:r>
    </w:p>
    <w:p>
      <w:pPr>
        <w:pStyle w:val="BodyText"/>
        <w:spacing w:before="100"/>
        <w:ind w:left="922"/>
      </w:pPr>
      <w:r>
        <w:rPr>
          <w:rFonts w:ascii="Times New Roman" w:eastAsia="Times New Roman"/>
          <w:b/>
          <w:color w:val="231F20"/>
        </w:rPr>
        <w:t>2</w:t>
      </w:r>
      <w:r>
        <w:rPr>
          <w:color w:val="231F20"/>
        </w:rPr>
        <w:t>、政府性基金预算</w:t>
      </w:r>
    </w:p>
    <w:p>
      <w:pPr>
        <w:pStyle w:val="BodyText"/>
        <w:spacing w:before="101"/>
        <w:ind w:left="922"/>
      </w:pPr>
      <w:r>
        <w:rPr>
          <w:color w:val="231F20"/>
          <w:spacing w:val="3"/>
        </w:rPr>
        <w:t>市级政府性基金预算收入</w:t>
      </w:r>
      <w:r>
        <w:rPr>
          <w:rFonts w:ascii="Times New Roman" w:eastAsia="Times New Roman"/>
          <w:color w:val="231F20"/>
        </w:rPr>
        <w:t>97500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5"/>
        </w:rPr>
        <w:t>万元，上级补助收入</w:t>
      </w:r>
      <w:r>
        <w:rPr>
          <w:rFonts w:ascii="Times New Roman" w:eastAsia="Times New Roman"/>
          <w:color w:val="231F20"/>
        </w:rPr>
        <w:t>6048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</w:rPr>
        <w:t>万</w:t>
      </w:r>
    </w:p>
    <w:p>
      <w:pPr>
        <w:pStyle w:val="BodyText"/>
        <w:spacing w:before="100"/>
        <w:ind w:left="270"/>
      </w:pPr>
      <w:r>
        <w:rPr>
          <w:color w:val="231F20"/>
          <w:spacing w:val="-16"/>
        </w:rPr>
        <w:t>元，上年结余收入</w:t>
      </w:r>
      <w:r>
        <w:rPr>
          <w:rFonts w:ascii="Times New Roman" w:eastAsia="Times New Roman"/>
          <w:color w:val="231F20"/>
        </w:rPr>
        <w:t>127416</w:t>
      </w:r>
      <w:r>
        <w:rPr>
          <w:rFonts w:ascii="Times New Roman" w:eastAsia="Times New Roman"/>
          <w:color w:val="231F20"/>
          <w:spacing w:val="-31"/>
        </w:rPr>
        <w:t> </w:t>
      </w:r>
      <w:r>
        <w:rPr>
          <w:color w:val="231F20"/>
          <w:spacing w:val="-18"/>
        </w:rPr>
        <w:t>万元，收入总计</w:t>
      </w:r>
      <w:r>
        <w:rPr>
          <w:rFonts w:ascii="Times New Roman" w:eastAsia="Times New Roman"/>
          <w:color w:val="231F20"/>
        </w:rPr>
        <w:t>230964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</w:rPr>
        <w:t>万元。市级政府</w:t>
      </w:r>
    </w:p>
    <w:p>
      <w:pPr>
        <w:pStyle w:val="BodyText"/>
        <w:spacing w:before="101"/>
        <w:ind w:left="270"/>
      </w:pPr>
      <w:r>
        <w:rPr>
          <w:color w:val="231F20"/>
          <w:spacing w:val="5"/>
        </w:rPr>
        <w:t>性基金预算支出</w:t>
      </w:r>
      <w:r>
        <w:rPr>
          <w:rFonts w:ascii="Times New Roman" w:eastAsia="Times New Roman"/>
          <w:color w:val="231F20"/>
        </w:rPr>
        <w:t>171961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3"/>
        </w:rPr>
        <w:t>万元，专项债务还本支出</w:t>
      </w:r>
      <w:r>
        <w:rPr>
          <w:rFonts w:ascii="Times New Roman" w:eastAsia="Times New Roman"/>
          <w:color w:val="231F20"/>
        </w:rPr>
        <w:t>4180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32"/>
        </w:rPr>
        <w:t>万元，调入</w:t>
      </w:r>
    </w:p>
    <w:p>
      <w:pPr>
        <w:pStyle w:val="BodyText"/>
        <w:spacing w:before="100"/>
        <w:ind w:left="270"/>
      </w:pPr>
      <w:r>
        <w:rPr>
          <w:color w:val="231F20"/>
          <w:spacing w:val="6"/>
        </w:rPr>
        <w:t>一般公共预算支出 </w:t>
      </w:r>
      <w:r>
        <w:rPr>
          <w:rFonts w:ascii="Times New Roman" w:eastAsia="Times New Roman"/>
          <w:color w:val="231F20"/>
        </w:rPr>
        <w:t>51602</w:t>
      </w:r>
      <w:r>
        <w:rPr>
          <w:rFonts w:ascii="Times New Roman" w:eastAsia="Times New Roman"/>
          <w:color w:val="231F20"/>
          <w:spacing w:val="-18"/>
        </w:rPr>
        <w:t> </w:t>
      </w:r>
      <w:r>
        <w:rPr>
          <w:color w:val="231F20"/>
          <w:spacing w:val="-18"/>
        </w:rPr>
        <w:t>万元，本年结余 </w:t>
      </w:r>
      <w:r>
        <w:rPr>
          <w:rFonts w:ascii="Times New Roman" w:eastAsia="Times New Roman"/>
          <w:color w:val="231F20"/>
        </w:rPr>
        <w:t>3221</w:t>
      </w:r>
      <w:r>
        <w:rPr>
          <w:rFonts w:ascii="Times New Roman" w:eastAsia="Times New Roman"/>
          <w:color w:val="231F20"/>
          <w:spacing w:val="-18"/>
        </w:rPr>
        <w:t> </w:t>
      </w:r>
      <w:r>
        <w:rPr>
          <w:color w:val="231F20"/>
          <w:spacing w:val="-6"/>
        </w:rPr>
        <w:t>万元，支出总计</w:t>
      </w:r>
    </w:p>
    <w:p>
      <w:pPr>
        <w:pStyle w:val="BodyText"/>
        <w:spacing w:before="101"/>
        <w:ind w:left="270"/>
      </w:pPr>
      <w:r>
        <w:rPr>
          <w:rFonts w:ascii="Times New Roman" w:eastAsia="Times New Roman"/>
          <w:color w:val="231F20"/>
        </w:rPr>
        <w:t>230964 </w:t>
      </w:r>
      <w:r>
        <w:rPr>
          <w:color w:val="231F20"/>
        </w:rPr>
        <w:t>万元。</w:t>
      </w:r>
    </w:p>
    <w:p>
      <w:pPr>
        <w:pStyle w:val="BodyText"/>
        <w:spacing w:before="100"/>
        <w:ind w:left="922"/>
      </w:pPr>
      <w:r>
        <w:rPr>
          <w:rFonts w:ascii="Times New Roman" w:eastAsia="Times New Roman"/>
          <w:b/>
          <w:color w:val="231F20"/>
        </w:rPr>
        <w:t>3</w:t>
      </w:r>
      <w:r>
        <w:rPr>
          <w:color w:val="231F20"/>
        </w:rPr>
        <w:t>、国有资本经营预算</w:t>
      </w:r>
    </w:p>
    <w:p>
      <w:pPr>
        <w:pStyle w:val="BodyText"/>
        <w:spacing w:before="101"/>
        <w:ind w:left="922"/>
        <w:rPr>
          <w:rFonts w:ascii="Times New Roman" w:eastAsia="Times New Roman"/>
        </w:rPr>
      </w:pPr>
      <w:r>
        <w:rPr>
          <w:color w:val="231F20"/>
          <w:spacing w:val="13"/>
        </w:rPr>
        <w:t>市级国有资本经营预算收入</w:t>
      </w:r>
      <w:r>
        <w:rPr>
          <w:rFonts w:ascii="Times New Roman" w:eastAsia="Times New Roman"/>
          <w:color w:val="231F20"/>
        </w:rPr>
        <w:t>70000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5"/>
        </w:rPr>
        <w:t>万元，上级补助收入</w:t>
      </w:r>
      <w:r>
        <w:rPr>
          <w:rFonts w:ascii="Times New Roman" w:eastAsia="Times New Roman"/>
          <w:color w:val="231F20"/>
        </w:rPr>
        <w:t>128</w:t>
      </w:r>
    </w:p>
    <w:p>
      <w:pPr>
        <w:pStyle w:val="BodyText"/>
        <w:spacing w:before="100"/>
        <w:ind w:left="270"/>
      </w:pPr>
      <w:r>
        <w:rPr>
          <w:color w:val="231F20"/>
          <w:spacing w:val="-15"/>
        </w:rPr>
        <w:t>万元，上年结余收入</w:t>
      </w:r>
      <w:r>
        <w:rPr>
          <w:rFonts w:ascii="Times New Roman" w:eastAsia="Times New Roman"/>
          <w:color w:val="231F20"/>
        </w:rPr>
        <w:t>128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8"/>
        </w:rPr>
        <w:t>万元，收入总计</w:t>
      </w:r>
      <w:r>
        <w:rPr>
          <w:rFonts w:ascii="Times New Roman" w:eastAsia="Times New Roman"/>
          <w:color w:val="231F20"/>
        </w:rPr>
        <w:t>70256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</w:rPr>
        <w:t>万元。市级国有资</w:t>
      </w:r>
    </w:p>
    <w:p>
      <w:pPr>
        <w:pStyle w:val="BodyText"/>
        <w:spacing w:before="101"/>
        <w:ind w:left="270"/>
      </w:pPr>
      <w:r>
        <w:rPr>
          <w:color w:val="231F20"/>
          <w:spacing w:val="5"/>
        </w:rPr>
        <w:t>本经营预算支出</w:t>
      </w:r>
      <w:r>
        <w:rPr>
          <w:rFonts w:ascii="Times New Roman" w:eastAsia="Times New Roman"/>
          <w:color w:val="231F20"/>
        </w:rPr>
        <w:t>18256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13"/>
        </w:rPr>
        <w:t>万元，调入一般公共预算</w:t>
      </w:r>
      <w:r>
        <w:rPr>
          <w:rFonts w:ascii="Times New Roman" w:eastAsia="Times New Roman"/>
          <w:color w:val="231F20"/>
        </w:rPr>
        <w:t>36000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32"/>
        </w:rPr>
        <w:t>万元，本年</w:t>
      </w:r>
    </w:p>
    <w:p>
      <w:pPr>
        <w:pStyle w:val="BodyText"/>
        <w:spacing w:before="100"/>
        <w:ind w:left="270"/>
      </w:pPr>
      <w:r>
        <w:rPr>
          <w:color w:val="231F20"/>
        </w:rPr>
        <w:t>结余</w:t>
      </w:r>
      <w:r>
        <w:rPr>
          <w:rFonts w:ascii="Times New Roman" w:eastAsia="Times New Roman"/>
          <w:color w:val="231F20"/>
        </w:rPr>
        <w:t>16000 </w:t>
      </w:r>
      <w:r>
        <w:rPr>
          <w:color w:val="231F20"/>
        </w:rPr>
        <w:t>万元，支出总计</w:t>
      </w:r>
      <w:r>
        <w:rPr>
          <w:rFonts w:ascii="Times New Roman" w:eastAsia="Times New Roman"/>
          <w:color w:val="231F20"/>
        </w:rPr>
        <w:t>70256 </w:t>
      </w:r>
      <w:r>
        <w:rPr>
          <w:color w:val="231F20"/>
        </w:rPr>
        <w:t>万元。</w:t>
      </w:r>
    </w:p>
    <w:p>
      <w:pPr>
        <w:pStyle w:val="BodyText"/>
        <w:spacing w:before="101"/>
        <w:ind w:left="922"/>
      </w:pPr>
      <w:r>
        <w:rPr>
          <w:rFonts w:ascii="Times New Roman" w:eastAsia="Times New Roman"/>
          <w:b/>
          <w:color w:val="231F20"/>
        </w:rPr>
        <w:t>4</w:t>
      </w:r>
      <w:r>
        <w:rPr>
          <w:color w:val="231F20"/>
        </w:rPr>
        <w:t>、社会保险基金预算</w:t>
      </w:r>
    </w:p>
    <w:p>
      <w:pPr>
        <w:pStyle w:val="BodyText"/>
        <w:spacing w:before="100"/>
        <w:ind w:left="922"/>
      </w:pPr>
      <w:r>
        <w:rPr>
          <w:color w:val="231F20"/>
          <w:spacing w:val="14"/>
        </w:rPr>
        <w:t>市级社会保险基金预算收入</w:t>
      </w:r>
      <w:r>
        <w:rPr>
          <w:rFonts w:ascii="Times New Roman" w:eastAsia="Times New Roman"/>
          <w:color w:val="231F20"/>
        </w:rPr>
        <w:t>75639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22"/>
        </w:rPr>
        <w:t>万元，其中，财政补贴收</w:t>
      </w:r>
    </w:p>
    <w:p>
      <w:pPr>
        <w:pStyle w:val="BodyText"/>
        <w:spacing w:before="101"/>
        <w:ind w:left="270"/>
      </w:pPr>
      <w:r>
        <w:rPr>
          <w:color w:val="231F20"/>
          <w:spacing w:val="52"/>
        </w:rPr>
        <w:t>入</w:t>
      </w:r>
      <w:r>
        <w:rPr>
          <w:rFonts w:ascii="Times New Roman" w:eastAsia="Times New Roman"/>
          <w:color w:val="231F20"/>
        </w:rPr>
        <w:t>44670</w:t>
      </w:r>
      <w:r>
        <w:rPr>
          <w:rFonts w:ascii="Times New Roman" w:eastAsia="Times New Roman"/>
          <w:color w:val="231F20"/>
          <w:spacing w:val="-28"/>
        </w:rPr>
        <w:t> </w:t>
      </w:r>
      <w:r>
        <w:rPr>
          <w:color w:val="231F20"/>
          <w:spacing w:val="-7"/>
        </w:rPr>
        <w:t>万元，保费收入</w:t>
      </w:r>
      <w:r>
        <w:rPr>
          <w:rFonts w:ascii="Times New Roman" w:eastAsia="Times New Roman"/>
          <w:color w:val="231F20"/>
        </w:rPr>
        <w:t>30720</w:t>
      </w:r>
      <w:r>
        <w:rPr>
          <w:rFonts w:ascii="Times New Roman" w:eastAsia="Times New Roman"/>
          <w:color w:val="231F20"/>
          <w:spacing w:val="-28"/>
        </w:rPr>
        <w:t> </w:t>
      </w:r>
      <w:r>
        <w:rPr>
          <w:color w:val="231F20"/>
          <w:spacing w:val="-7"/>
        </w:rPr>
        <w:t>万元，利息收入</w:t>
      </w:r>
      <w:r>
        <w:rPr>
          <w:rFonts w:ascii="Times New Roman" w:eastAsia="Times New Roman"/>
          <w:color w:val="231F20"/>
        </w:rPr>
        <w:t>244</w:t>
      </w:r>
      <w:r>
        <w:rPr>
          <w:rFonts w:ascii="Times New Roman" w:eastAsia="Times New Roman"/>
          <w:color w:val="231F20"/>
          <w:spacing w:val="-28"/>
        </w:rPr>
        <w:t> </w:t>
      </w:r>
      <w:r>
        <w:rPr>
          <w:color w:val="231F20"/>
          <w:spacing w:val="-18"/>
        </w:rPr>
        <w:t>万元，转移收</w:t>
      </w:r>
    </w:p>
    <w:p>
      <w:pPr>
        <w:pStyle w:val="BodyText"/>
        <w:spacing w:before="100"/>
        <w:ind w:left="270"/>
      </w:pPr>
      <w:r>
        <w:rPr>
          <w:color w:val="231F20"/>
          <w:spacing w:val="55"/>
        </w:rPr>
        <w:t>入</w:t>
      </w:r>
      <w:r>
        <w:rPr>
          <w:rFonts w:ascii="Times New Roman" w:eastAsia="Times New Roman"/>
          <w:color w:val="231F20"/>
        </w:rPr>
        <w:t>5</w:t>
      </w:r>
      <w:r>
        <w:rPr>
          <w:rFonts w:ascii="Times New Roman" w:eastAsia="Times New Roman"/>
          <w:color w:val="231F20"/>
          <w:spacing w:val="-25"/>
        </w:rPr>
        <w:t> </w:t>
      </w:r>
      <w:r>
        <w:rPr>
          <w:color w:val="231F20"/>
          <w:spacing w:val="18"/>
        </w:rPr>
        <w:t>万元。社会保险基金预算支出</w:t>
      </w:r>
      <w:r>
        <w:rPr>
          <w:rFonts w:ascii="Times New Roman" w:eastAsia="Times New Roman"/>
          <w:color w:val="231F20"/>
        </w:rPr>
        <w:t>74790</w:t>
      </w:r>
      <w:r>
        <w:rPr>
          <w:rFonts w:ascii="Times New Roman" w:eastAsia="Times New Roman"/>
          <w:color w:val="231F20"/>
          <w:spacing w:val="-25"/>
        </w:rPr>
        <w:t> </w:t>
      </w:r>
      <w:r>
        <w:rPr>
          <w:color w:val="231F20"/>
          <w:spacing w:val="13"/>
        </w:rPr>
        <w:t>万元。基金年初结余</w:t>
      </w:r>
    </w:p>
    <w:p>
      <w:pPr>
        <w:pStyle w:val="BodyText"/>
        <w:spacing w:before="101"/>
        <w:ind w:left="270"/>
      </w:pPr>
      <w:r>
        <w:rPr>
          <w:rFonts w:ascii="Times New Roman" w:eastAsia="Times New Roman"/>
          <w:color w:val="231F20"/>
        </w:rPr>
        <w:t>43811 </w:t>
      </w:r>
      <w:r>
        <w:rPr>
          <w:color w:val="231F20"/>
        </w:rPr>
        <w:t>万元，年末结余</w:t>
      </w:r>
      <w:r>
        <w:rPr>
          <w:rFonts w:ascii="Times New Roman" w:eastAsia="Times New Roman"/>
          <w:color w:val="231F20"/>
        </w:rPr>
        <w:t>44660 </w:t>
      </w:r>
      <w:r>
        <w:rPr>
          <w:color w:val="231F20"/>
        </w:rPr>
        <w:t>万元。</w:t>
      </w:r>
    </w:p>
    <w:p>
      <w:pPr>
        <w:pStyle w:val="BodyText"/>
        <w:spacing w:before="100"/>
        <w:ind w:left="922"/>
        <w:rPr>
          <w:rFonts w:ascii="黑体" w:eastAsia="黑体" w:hint="eastAsia"/>
        </w:rPr>
      </w:pPr>
      <w:r>
        <w:rPr>
          <w:rFonts w:ascii="黑体" w:eastAsia="黑体" w:hint="eastAsia"/>
          <w:color w:val="231F20"/>
          <w:spacing w:val="-80"/>
        </w:rPr>
        <w:t>四、</w:t>
      </w:r>
      <w:r>
        <w:rPr>
          <w:rFonts w:ascii="Times New Roman" w:eastAsia="Times New Roman"/>
          <w:color w:val="231F20"/>
        </w:rPr>
        <w:t>2025 </w:t>
      </w:r>
      <w:r>
        <w:rPr>
          <w:rFonts w:ascii="黑体" w:eastAsia="黑体" w:hint="eastAsia"/>
          <w:color w:val="231F20"/>
        </w:rPr>
        <w:t>年财政重点工作</w:t>
      </w:r>
    </w:p>
    <w:p>
      <w:pPr>
        <w:pStyle w:val="BodyText"/>
        <w:spacing w:line="300" w:lineRule="auto" w:before="101"/>
        <w:ind w:left="270" w:right="108" w:firstLine="651"/>
      </w:pPr>
      <w:r>
        <w:rPr>
          <w:rFonts w:ascii="Times New Roman" w:hAnsi="Times New Roman" w:eastAsia="Times New Roman"/>
          <w:color w:val="231F20"/>
        </w:rPr>
        <w:t>2025 </w:t>
      </w:r>
      <w:r>
        <w:rPr>
          <w:color w:val="231F20"/>
          <w:spacing w:val="-21"/>
        </w:rPr>
        <w:t>年，我们将紧紧围绕省委确定的“四高四争先”和市委、</w:t>
      </w:r>
      <w:r>
        <w:rPr>
          <w:color w:val="231F20"/>
          <w:spacing w:val="-20"/>
        </w:rPr>
        <w:t>市政府重点工作部署，按照市委十三届八次全会暨经济工作会议</w:t>
      </w:r>
      <w:r>
        <w:rPr>
          <w:color w:val="231F20"/>
          <w:spacing w:val="-24"/>
        </w:rPr>
        <w:t>确定的目标和发展方向，提高财政政策的针对性和有效性，注重开</w:t>
      </w:r>
      <w:r>
        <w:rPr>
          <w:color w:val="231F20"/>
          <w:spacing w:val="-51"/>
        </w:rPr>
        <w:t>源节流，加强资金统筹，紧盯“三保”支出、项目建设、风险防范、财政</w:t>
      </w:r>
      <w:r>
        <w:rPr>
          <w:color w:val="231F20"/>
          <w:spacing w:val="-23"/>
        </w:rPr>
        <w:t>改革等全局工作，为服务全市经济社会高质量发展提供财力保障。</w:t>
      </w:r>
    </w:p>
    <w:p>
      <w:pPr>
        <w:spacing w:after="0" w:line="300" w:lineRule="auto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0" w:right="109" w:firstLine="536"/>
      </w:pPr>
      <w:r>
        <w:rPr>
          <w:rFonts w:ascii="楷体_GB2312" w:hAnsi="楷体_GB2312" w:eastAsia="楷体_GB2312" w:hint="eastAsia"/>
          <w:color w:val="231F20"/>
          <w:spacing w:val="-44"/>
        </w:rPr>
        <w:t>（</w:t>
      </w:r>
      <w:r>
        <w:rPr>
          <w:rFonts w:ascii="楷体_GB2312" w:hAnsi="楷体_GB2312" w:eastAsia="楷体_GB2312" w:hint="eastAsia"/>
          <w:color w:val="231F20"/>
          <w:spacing w:val="-43"/>
        </w:rPr>
        <w:t>一</w:t>
      </w:r>
      <w:r>
        <w:rPr>
          <w:rFonts w:ascii="楷体_GB2312" w:hAnsi="楷体_GB2312" w:eastAsia="楷体_GB2312" w:hint="eastAsia"/>
          <w:color w:val="231F20"/>
          <w:spacing w:val="-116"/>
        </w:rPr>
        <w:t>）</w:t>
      </w:r>
      <w:r>
        <w:rPr>
          <w:rFonts w:ascii="楷体_GB2312" w:hAnsi="楷体_GB2312" w:eastAsia="楷体_GB2312" w:hint="eastAsia"/>
          <w:color w:val="231F20"/>
          <w:spacing w:val="-14"/>
        </w:rPr>
        <w:t>突出综合治税，持续提高收入质量。</w:t>
      </w:r>
      <w:r>
        <w:rPr>
          <w:color w:val="231F20"/>
        </w:rPr>
        <w:t>一是加强财税与乡</w:t>
      </w:r>
      <w:r>
        <w:rPr>
          <w:color w:val="231F20"/>
          <w:spacing w:val="-24"/>
        </w:rPr>
        <w:t>镇和各协税护税部门配合联动，强化征管措施，确保应收尽收；充</w:t>
      </w:r>
      <w:r>
        <w:rPr>
          <w:color w:val="231F20"/>
          <w:spacing w:val="-12"/>
        </w:rPr>
        <w:t>分利用财税信息监管平台系统，不断提高数字化、智能化管理水</w:t>
      </w:r>
      <w:r>
        <w:rPr>
          <w:color w:val="231F20"/>
          <w:spacing w:val="-14"/>
        </w:rPr>
        <w:t>平，从数字管税向数字治税发展。二是充分发挥矿产品企业服务中心的引领作用，做大做强我市矿产品贸易市场规模，同时规范</w:t>
      </w:r>
      <w:r>
        <w:rPr>
          <w:color w:val="231F20"/>
          <w:spacing w:val="-6"/>
        </w:rPr>
        <w:t>矿产品贸易企业交易行为，吸引流失域外矿产品贸易企业回流， </w:t>
      </w:r>
      <w:r>
        <w:rPr>
          <w:color w:val="231F20"/>
          <w:spacing w:val="-25"/>
        </w:rPr>
        <w:t>增加我市财税收入和经济指标。三是紧盯产业链“延链、补链、强</w:t>
      </w:r>
      <w:r>
        <w:rPr>
          <w:color w:val="231F20"/>
          <w:spacing w:val="-80"/>
        </w:rPr>
        <w:t>链”</w:t>
      </w:r>
      <w:r>
        <w:rPr>
          <w:rFonts w:ascii="Times New Roman" w:hAnsi="Times New Roman" w:eastAsia="Times New Roman"/>
          <w:color w:val="231F20"/>
        </w:rPr>
        <w:t>, </w:t>
      </w:r>
      <w:r>
        <w:rPr>
          <w:color w:val="231F20"/>
          <w:spacing w:val="-25"/>
        </w:rPr>
        <w:t>推动重点产业链集群发展，加快项目建设，尽快实现产能，提高财税增收后劲。</w:t>
      </w:r>
    </w:p>
    <w:p>
      <w:pPr>
        <w:pStyle w:val="BodyText"/>
        <w:spacing w:line="392" w:lineRule="exact"/>
        <w:ind w:left="807"/>
      </w:pPr>
      <w:r>
        <w:rPr>
          <w:rFonts w:ascii="楷体_GB2312" w:eastAsia="楷体_GB2312" w:hint="eastAsia"/>
          <w:color w:val="231F20"/>
          <w:spacing w:val="-44"/>
        </w:rPr>
        <w:t>（</w:t>
      </w:r>
      <w:r>
        <w:rPr>
          <w:rFonts w:ascii="楷体_GB2312" w:eastAsia="楷体_GB2312" w:hint="eastAsia"/>
          <w:color w:val="231F20"/>
          <w:spacing w:val="-43"/>
        </w:rPr>
        <w:t>二</w:t>
      </w:r>
      <w:r>
        <w:rPr>
          <w:rFonts w:ascii="楷体_GB2312" w:eastAsia="楷体_GB2312" w:hint="eastAsia"/>
          <w:color w:val="231F20"/>
          <w:spacing w:val="-116"/>
        </w:rPr>
        <w:t>）</w:t>
      </w:r>
      <w:r>
        <w:rPr>
          <w:rFonts w:ascii="楷体_GB2312" w:eastAsia="楷体_GB2312" w:hint="eastAsia"/>
          <w:color w:val="231F20"/>
          <w:spacing w:val="-13"/>
        </w:rPr>
        <w:t>坚持精准向上争取，服务重点项目建设。</w:t>
      </w:r>
      <w:r>
        <w:rPr>
          <w:color w:val="231F20"/>
        </w:rPr>
        <w:t>坚持项目为王</w:t>
      </w:r>
    </w:p>
    <w:p>
      <w:pPr>
        <w:pStyle w:val="BodyText"/>
        <w:spacing w:line="300" w:lineRule="auto" w:before="101"/>
        <w:ind w:left="270" w:right="109"/>
      </w:pPr>
      <w:r>
        <w:rPr>
          <w:color w:val="231F20"/>
          <w:spacing w:val="-1"/>
        </w:rPr>
        <w:t>思想，以项目建设带动经济增长。一是加强政策性资金争取力</w:t>
      </w:r>
      <w:r>
        <w:rPr>
          <w:color w:val="231F20"/>
          <w:spacing w:val="-10"/>
        </w:rPr>
        <w:t>度。抢抓国家实行更加积极的财政政策、提高财政赤字率等政策</w:t>
      </w:r>
      <w:r>
        <w:rPr>
          <w:color w:val="231F20"/>
          <w:spacing w:val="-24"/>
        </w:rPr>
        <w:t>机遇，动员全市各部门，加强与省级主管部门、财政对口处室沟通</w:t>
      </w:r>
      <w:r>
        <w:rPr>
          <w:color w:val="231F20"/>
          <w:spacing w:val="-20"/>
        </w:rPr>
        <w:t>对接，紧盯超长期国债的支持领域，围绕“两重”建设</w:t>
      </w:r>
      <w:r>
        <w:rPr>
          <w:color w:val="231F20"/>
          <w:spacing w:val="-314"/>
        </w:rPr>
        <w:t>、</w:t>
      </w:r>
      <w:r>
        <w:rPr>
          <w:color w:val="231F20"/>
          <w:spacing w:val="-22"/>
        </w:rPr>
        <w:t>“两新”工</w:t>
      </w:r>
      <w:r>
        <w:rPr>
          <w:color w:val="231F20"/>
          <w:spacing w:val="-26"/>
        </w:rPr>
        <w:t>作，配合市直单位谋划项目，最大限度争取上级资金支持，享受政</w:t>
      </w:r>
      <w:r>
        <w:rPr>
          <w:color w:val="231F20"/>
          <w:spacing w:val="-29"/>
        </w:rPr>
        <w:t>策红利。二是精准谋划专项债券项目。紧盯专项债券投向“负面</w:t>
      </w:r>
      <w:r>
        <w:rPr>
          <w:color w:val="231F20"/>
          <w:spacing w:val="-27"/>
        </w:rPr>
        <w:t>清单”进行项目排除，优化完善专项债券谋划发行激励机制，提请</w:t>
      </w:r>
      <w:r>
        <w:rPr>
          <w:color w:val="231F20"/>
          <w:spacing w:val="-8"/>
        </w:rPr>
        <w:t>政府将专项债券谋划发行纳入考核事项，围绕新质生产力、循环</w:t>
      </w:r>
      <w:r>
        <w:rPr>
          <w:color w:val="231F20"/>
          <w:spacing w:val="-21"/>
        </w:rPr>
        <w:t>经济、新型基础设施、生态保护、数字经济等重点领域，发挥财政</w:t>
      </w:r>
      <w:r>
        <w:rPr>
          <w:color w:val="231F20"/>
          <w:spacing w:val="-17"/>
        </w:rPr>
        <w:t>部门在收益测算、限额分配、绩效评价、申报评审方面主体职能， </w:t>
      </w:r>
      <w:r>
        <w:rPr>
          <w:color w:val="231F20"/>
          <w:spacing w:val="-13"/>
        </w:rPr>
        <w:t>深挖项目内在收益潜力，提高项目评审通过率，缩短项目申报周</w:t>
      </w:r>
      <w:r>
        <w:rPr>
          <w:color w:val="231F20"/>
        </w:rPr>
        <w:t>期，在全市掀起项目谋划申报高潮。三是全力服务重点项目建</w:t>
      </w:r>
      <w:r>
        <w:rPr>
          <w:color w:val="231F20"/>
          <w:spacing w:val="4"/>
        </w:rPr>
        <w:t>设。统筹整合各类资金，围绕函谷关</w:t>
      </w:r>
      <w:r>
        <w:rPr>
          <w:rFonts w:ascii="Times New Roman" w:hAnsi="Times New Roman" w:eastAsia="Times New Roman"/>
          <w:color w:val="231F20"/>
        </w:rPr>
        <w:t>5A</w:t>
      </w:r>
      <w:r>
        <w:rPr>
          <w:rFonts w:ascii="Times New Roman" w:hAnsi="Times New Roman" w:eastAsia="Times New Roman"/>
          <w:color w:val="231F20"/>
          <w:spacing w:val="-26"/>
        </w:rPr>
        <w:t> </w:t>
      </w:r>
      <w:r>
        <w:rPr>
          <w:color w:val="231F20"/>
          <w:spacing w:val="-5"/>
        </w:rPr>
        <w:t>级景区创建、铜基新材</w:t>
      </w:r>
      <w:r>
        <w:rPr>
          <w:color w:val="231F20"/>
          <w:spacing w:val="-21"/>
        </w:rPr>
        <w:t>料、黄金精深加工、表面处理产业园、博物馆等重点项目，加大对</w:t>
      </w:r>
    </w:p>
    <w:p>
      <w:pPr>
        <w:spacing w:after="0" w:line="300" w:lineRule="auto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3"/>
        <w:ind w:left="270"/>
      </w:pPr>
      <w:r>
        <w:rPr>
          <w:color w:val="231F20"/>
        </w:rPr>
        <w:t>接支持力度，使项目早建成、早投产、早见效。</w:t>
      </w:r>
    </w:p>
    <w:p>
      <w:pPr>
        <w:pStyle w:val="BodyText"/>
        <w:spacing w:line="300" w:lineRule="auto" w:before="101"/>
        <w:ind w:left="270" w:right="268" w:firstLine="536"/>
        <w:jc w:val="both"/>
        <w:rPr>
          <w:rFonts w:ascii="Times New Roman" w:hAnsi="Times New Roman" w:eastAsia="Times New Roman"/>
        </w:rPr>
      </w:pPr>
      <w:r>
        <w:rPr>
          <w:rFonts w:ascii="楷体_GB2312" w:hAnsi="楷体_GB2312" w:eastAsia="楷体_GB2312" w:hint="eastAsia"/>
          <w:color w:val="231F20"/>
          <w:spacing w:val="-38"/>
        </w:rPr>
        <w:t>（</w:t>
      </w:r>
      <w:r>
        <w:rPr>
          <w:rFonts w:ascii="楷体_GB2312" w:hAnsi="楷体_GB2312" w:eastAsia="楷体_GB2312" w:hint="eastAsia"/>
          <w:color w:val="231F20"/>
          <w:spacing w:val="-37"/>
        </w:rPr>
        <w:t>三</w:t>
      </w:r>
      <w:r>
        <w:rPr>
          <w:rFonts w:ascii="楷体_GB2312" w:hAnsi="楷体_GB2312" w:eastAsia="楷体_GB2312" w:hint="eastAsia"/>
          <w:color w:val="231F20"/>
          <w:spacing w:val="-110"/>
        </w:rPr>
        <w:t>）</w:t>
      </w:r>
      <w:r>
        <w:rPr>
          <w:rFonts w:ascii="楷体_GB2312" w:hAnsi="楷体_GB2312" w:eastAsia="楷体_GB2312" w:hint="eastAsia"/>
          <w:color w:val="231F20"/>
          <w:spacing w:val="-40"/>
        </w:rPr>
        <w:t>坚持“小钱小气、大钱大方”，兜牢“三保”底线。</w:t>
      </w:r>
      <w:r>
        <w:rPr>
          <w:color w:val="231F20"/>
          <w:spacing w:val="4"/>
        </w:rPr>
        <w:t>一是牢</w:t>
      </w:r>
      <w:r>
        <w:rPr>
          <w:color w:val="231F20"/>
          <w:spacing w:val="-13"/>
        </w:rPr>
        <w:t>固树立过紧日子思想，坚持节俭办一切事业，从严从紧控制一般</w:t>
      </w:r>
      <w:r>
        <w:rPr>
          <w:color w:val="231F20"/>
          <w:spacing w:val="-45"/>
        </w:rPr>
        <w:t>性支出，当好“铁公鸡”，打好“铁算盘”，党政机关带头，进一步压</w:t>
      </w:r>
      <w:r>
        <w:rPr>
          <w:color w:val="231F20"/>
          <w:spacing w:val="-35"/>
        </w:rPr>
        <w:t>减部门一般性和非急需非刚性支出，将节约下来的经费统筹用于</w:t>
      </w:r>
      <w:r>
        <w:rPr>
          <w:color w:val="231F20"/>
          <w:spacing w:val="-13"/>
        </w:rPr>
        <w:t>支持重大项目建设、重要改革和重点领域需求，推动过紧日子制</w:t>
      </w:r>
      <w:r>
        <w:rPr>
          <w:color w:val="231F20"/>
          <w:spacing w:val="-11"/>
        </w:rPr>
        <w:t>度化常态化。二是强化地方政府“三保”主体责任。将基层“三</w:t>
      </w:r>
      <w:r>
        <w:rPr>
          <w:color w:val="231F20"/>
          <w:spacing w:val="-13"/>
        </w:rPr>
        <w:t>保”作为财政工作首要任务和应尽之责，严把预算安排和支出关</w:t>
      </w:r>
      <w:r>
        <w:rPr>
          <w:color w:val="231F20"/>
          <w:spacing w:val="-70"/>
        </w:rPr>
        <w:t>口，</w:t>
      </w:r>
      <w:r>
        <w:rPr>
          <w:rFonts w:ascii="Times New Roman" w:hAnsi="Times New Roman" w:eastAsia="Times New Roman"/>
          <w:color w:val="231F20"/>
        </w:rPr>
        <w:t>2025</w:t>
      </w:r>
      <w:r>
        <w:rPr>
          <w:rFonts w:ascii="Times New Roman" w:hAnsi="Times New Roman" w:eastAsia="Times New Roman"/>
          <w:color w:val="231F20"/>
          <w:spacing w:val="-30"/>
        </w:rPr>
        <w:t> </w:t>
      </w:r>
      <w:r>
        <w:rPr>
          <w:color w:val="231F20"/>
          <w:spacing w:val="-14"/>
        </w:rPr>
        <w:t>年财政预算安排“三保”支出</w:t>
      </w:r>
      <w:r>
        <w:rPr>
          <w:rFonts w:ascii="Times New Roman" w:hAnsi="Times New Roman" w:eastAsia="Times New Roman"/>
          <w:color w:val="231F20"/>
        </w:rPr>
        <w:t>24.1</w:t>
      </w:r>
      <w:r>
        <w:rPr>
          <w:rFonts w:ascii="Times New Roman" w:hAnsi="Times New Roman" w:eastAsia="Times New Roman"/>
          <w:color w:val="231F20"/>
          <w:spacing w:val="-30"/>
        </w:rPr>
        <w:t> </w:t>
      </w:r>
      <w:r>
        <w:rPr>
          <w:color w:val="231F20"/>
          <w:spacing w:val="-23"/>
        </w:rPr>
        <w:t>亿元，其中，保工资</w:t>
      </w:r>
      <w:r>
        <w:rPr>
          <w:rFonts w:ascii="Times New Roman" w:hAnsi="Times New Roman" w:eastAsia="Times New Roman"/>
          <w:color w:val="231F20"/>
        </w:rPr>
        <w:t>14</w:t>
      </w:r>
    </w:p>
    <w:p>
      <w:pPr>
        <w:pStyle w:val="BodyText"/>
        <w:spacing w:line="394" w:lineRule="exact"/>
        <w:ind w:left="270"/>
        <w:jc w:val="both"/>
      </w:pPr>
      <w:r>
        <w:rPr>
          <w:color w:val="231F20"/>
          <w:spacing w:val="-11"/>
        </w:rPr>
        <w:t>亿元，保运转</w:t>
      </w:r>
      <w:r>
        <w:rPr>
          <w:rFonts w:ascii="Times New Roman" w:hAnsi="Times New Roman" w:eastAsia="Times New Roman"/>
          <w:color w:val="231F20"/>
        </w:rPr>
        <w:t>2</w:t>
      </w:r>
      <w:r>
        <w:rPr>
          <w:rFonts w:ascii="Times New Roman" w:hAnsi="Times New Roman" w:eastAsia="Times New Roman"/>
          <w:color w:val="231F20"/>
          <w:spacing w:val="-30"/>
        </w:rPr>
        <w:t> </w:t>
      </w:r>
      <w:r>
        <w:rPr>
          <w:color w:val="231F20"/>
          <w:spacing w:val="-6"/>
        </w:rPr>
        <w:t>亿元，保基本民生</w:t>
      </w:r>
      <w:r>
        <w:rPr>
          <w:rFonts w:ascii="Times New Roman" w:hAnsi="Times New Roman" w:eastAsia="Times New Roman"/>
          <w:color w:val="231F20"/>
        </w:rPr>
        <w:t>8.1</w:t>
      </w:r>
      <w:r>
        <w:rPr>
          <w:rFonts w:ascii="Times New Roman" w:hAnsi="Times New Roman" w:eastAsia="Times New Roman"/>
          <w:color w:val="231F20"/>
          <w:spacing w:val="-30"/>
        </w:rPr>
        <w:t> </w:t>
      </w:r>
      <w:r>
        <w:rPr>
          <w:color w:val="231F20"/>
          <w:spacing w:val="-32"/>
        </w:rPr>
        <w:t>亿元，坚持“三保”支出在财</w:t>
      </w:r>
    </w:p>
    <w:p>
      <w:pPr>
        <w:pStyle w:val="BodyText"/>
        <w:spacing w:line="300" w:lineRule="auto" w:before="100"/>
        <w:ind w:left="270" w:right="268"/>
      </w:pPr>
      <w:r>
        <w:rPr>
          <w:color w:val="231F20"/>
          <w:spacing w:val="7"/>
        </w:rPr>
        <w:t>政支出的优先顺序</w:t>
      </w:r>
      <w:r>
        <w:rPr>
          <w:color w:val="231F20"/>
          <w:spacing w:val="-319"/>
        </w:rPr>
        <w:t>，</w:t>
      </w:r>
      <w:r>
        <w:rPr>
          <w:color w:val="231F20"/>
          <w:spacing w:val="-14"/>
        </w:rPr>
        <w:t>“三保”支出未足额保障的，原则上不安排其他支出。</w:t>
      </w:r>
    </w:p>
    <w:p>
      <w:pPr>
        <w:pStyle w:val="BodyText"/>
        <w:spacing w:line="300" w:lineRule="auto"/>
        <w:ind w:left="270" w:right="268" w:firstLine="536"/>
        <w:jc w:val="both"/>
      </w:pPr>
      <w:r>
        <w:rPr>
          <w:rFonts w:ascii="楷体_GB2312" w:eastAsia="楷体_GB2312" w:hint="eastAsia"/>
          <w:color w:val="231F20"/>
          <w:spacing w:val="-44"/>
        </w:rPr>
        <w:t>（</w:t>
      </w:r>
      <w:r>
        <w:rPr>
          <w:rFonts w:ascii="楷体_GB2312" w:eastAsia="楷体_GB2312" w:hint="eastAsia"/>
          <w:color w:val="231F20"/>
          <w:spacing w:val="-43"/>
        </w:rPr>
        <w:t>四</w:t>
      </w:r>
      <w:r>
        <w:rPr>
          <w:rFonts w:ascii="楷体_GB2312" w:eastAsia="楷体_GB2312" w:hint="eastAsia"/>
          <w:color w:val="231F20"/>
          <w:spacing w:val="-116"/>
        </w:rPr>
        <w:t>）</w:t>
      </w:r>
      <w:r>
        <w:rPr>
          <w:rFonts w:ascii="楷体_GB2312" w:eastAsia="楷体_GB2312" w:hint="eastAsia"/>
          <w:color w:val="231F20"/>
          <w:spacing w:val="-13"/>
        </w:rPr>
        <w:t>持续加大民生投入，稳步提升民生保障水平。</w:t>
      </w:r>
      <w:r>
        <w:rPr>
          <w:color w:val="231F20"/>
        </w:rPr>
        <w:t>持续加大</w:t>
      </w:r>
      <w:r>
        <w:rPr>
          <w:color w:val="231F20"/>
          <w:spacing w:val="-13"/>
        </w:rPr>
        <w:t>教育和民生投入，扩大民生服务供给，让更多发展成果惠及全市</w:t>
      </w:r>
      <w:r>
        <w:rPr>
          <w:color w:val="231F20"/>
          <w:spacing w:val="-16"/>
        </w:rPr>
        <w:t>人民。一是加强教育投入，全市教育经费投入预算</w:t>
      </w:r>
      <w:r>
        <w:rPr>
          <w:rFonts w:ascii="Times New Roman" w:eastAsia="Times New Roman"/>
          <w:color w:val="231F20"/>
        </w:rPr>
        <w:t>8.9</w:t>
      </w:r>
      <w:r>
        <w:rPr>
          <w:rFonts w:ascii="Times New Roman" w:eastAsia="Times New Roman"/>
          <w:color w:val="231F20"/>
          <w:spacing w:val="-25"/>
        </w:rPr>
        <w:t> </w:t>
      </w:r>
      <w:r>
        <w:rPr>
          <w:color w:val="231F20"/>
          <w:spacing w:val="-32"/>
        </w:rPr>
        <w:t>亿元，实现</w:t>
      </w:r>
      <w:r>
        <w:rPr>
          <w:color w:val="231F20"/>
          <w:spacing w:val="-28"/>
        </w:rPr>
        <w:t>义务教育、学前教育、职业教育等全学段财政经费安排全覆盖，足</w:t>
      </w:r>
      <w:r>
        <w:rPr>
          <w:color w:val="231F20"/>
          <w:spacing w:val="-21"/>
        </w:rPr>
        <w:t>额保障人员经费、运转经费、学生资助、校舍维修、改善高中阶段</w:t>
      </w:r>
      <w:r>
        <w:rPr>
          <w:color w:val="231F20"/>
          <w:spacing w:val="-25"/>
        </w:rPr>
        <w:t>办学条件等方面需求。二是认真落实社会保障政策，全市安排社</w:t>
      </w:r>
      <w:r>
        <w:rPr>
          <w:color w:val="231F20"/>
          <w:spacing w:val="-17"/>
        </w:rPr>
        <w:t>会保障及民政支出</w:t>
      </w:r>
      <w:r>
        <w:rPr>
          <w:rFonts w:ascii="Times New Roman" w:eastAsia="Times New Roman"/>
          <w:color w:val="231F20"/>
        </w:rPr>
        <w:t>8.4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26"/>
        </w:rPr>
        <w:t>亿元，其中，用于社会保障</w:t>
      </w:r>
      <w:r>
        <w:rPr>
          <w:rFonts w:ascii="Times New Roman" w:eastAsia="Times New Roman"/>
          <w:color w:val="231F20"/>
        </w:rPr>
        <w:t>5.6</w:t>
      </w:r>
      <w:r>
        <w:rPr>
          <w:rFonts w:ascii="Times New Roman" w:eastAsia="Times New Roman"/>
          <w:color w:val="231F20"/>
          <w:spacing w:val="-29"/>
        </w:rPr>
        <w:t> </w:t>
      </w:r>
      <w:r>
        <w:rPr>
          <w:color w:val="231F20"/>
          <w:spacing w:val="-27"/>
        </w:rPr>
        <w:t>亿元，卫生健</w:t>
      </w:r>
    </w:p>
    <w:p>
      <w:pPr>
        <w:pStyle w:val="BodyText"/>
        <w:spacing w:line="396" w:lineRule="exact"/>
        <w:ind w:left="270"/>
      </w:pPr>
      <w:r>
        <w:rPr>
          <w:color w:val="231F20"/>
          <w:spacing w:val="41"/>
        </w:rPr>
        <w:t>康</w:t>
      </w:r>
      <w:r>
        <w:rPr>
          <w:rFonts w:ascii="Times New Roman" w:eastAsia="Times New Roman"/>
          <w:color w:val="231F20"/>
        </w:rPr>
        <w:t>2.8</w:t>
      </w:r>
      <w:r>
        <w:rPr>
          <w:rFonts w:ascii="Times New Roman" w:eastAsia="Times New Roman"/>
          <w:color w:val="231F20"/>
          <w:spacing w:val="-17"/>
        </w:rPr>
        <w:t> </w:t>
      </w:r>
      <w:r>
        <w:rPr>
          <w:color w:val="231F20"/>
          <w:spacing w:val="-29"/>
        </w:rPr>
        <w:t>亿元，做好特殊困难群体兜底、救助、帮扶工作，支持医疗卫</w:t>
      </w:r>
    </w:p>
    <w:p>
      <w:pPr>
        <w:pStyle w:val="BodyText"/>
        <w:spacing w:line="300" w:lineRule="auto" w:before="97"/>
        <w:ind w:left="270" w:right="108"/>
      </w:pPr>
      <w:r>
        <w:rPr>
          <w:color w:val="231F20"/>
          <w:spacing w:val="-14"/>
        </w:rPr>
        <w:t>生强基工程，全方位守护人民群众健康。三是持续加大文化惠民</w:t>
      </w:r>
      <w:r>
        <w:rPr>
          <w:color w:val="231F20"/>
          <w:spacing w:val="-9"/>
        </w:rPr>
        <w:t>工程，安排资金</w:t>
      </w:r>
      <w:r>
        <w:rPr>
          <w:rFonts w:ascii="Times New Roman" w:eastAsia="Times New Roman"/>
          <w:color w:val="231F20"/>
        </w:rPr>
        <w:t>3368</w:t>
      </w:r>
      <w:r>
        <w:rPr>
          <w:rFonts w:ascii="Times New Roman" w:eastAsia="Times New Roman"/>
          <w:color w:val="231F20"/>
          <w:spacing w:val="-30"/>
        </w:rPr>
        <w:t> </w:t>
      </w:r>
      <w:r>
        <w:rPr>
          <w:color w:val="231F20"/>
          <w:spacing w:val="-4"/>
        </w:rPr>
        <w:t>万元，不断提高基本公共文化服务覆盖面， </w:t>
      </w:r>
      <w:r>
        <w:rPr>
          <w:color w:val="231F20"/>
          <w:spacing w:val="-11"/>
        </w:rPr>
        <w:t>繁荣发展文化事业和文化产业，推动创新实施文化惠民工程，提</w:t>
      </w:r>
      <w:r>
        <w:rPr>
          <w:color w:val="231F20"/>
          <w:spacing w:val="3"/>
        </w:rPr>
        <w:t>高公共文化场馆免费开放服务水平，保障重大宣传文化活动开</w:t>
      </w:r>
    </w:p>
    <w:p>
      <w:pPr>
        <w:spacing w:after="0" w:line="300" w:lineRule="auto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1" w:right="108"/>
      </w:pPr>
      <w:r>
        <w:rPr>
          <w:color w:val="231F20"/>
          <w:spacing w:val="6"/>
        </w:rPr>
        <w:t>展。支持公共体育场馆向社会免费或低收费开放。四是着力提</w:t>
      </w:r>
      <w:r>
        <w:rPr>
          <w:color w:val="231F20"/>
          <w:spacing w:val="8"/>
        </w:rPr>
        <w:t>升平安建设。安排资金</w:t>
      </w:r>
      <w:r>
        <w:rPr>
          <w:rFonts w:ascii="Times New Roman" w:eastAsia="Times New Roman"/>
          <w:color w:val="231F20"/>
        </w:rPr>
        <w:t>7510 </w:t>
      </w:r>
      <w:r>
        <w:rPr>
          <w:color w:val="231F20"/>
          <w:spacing w:val="-10"/>
        </w:rPr>
        <w:t>万元，足额安排各类防灾救灾资金， </w:t>
      </w:r>
      <w:r>
        <w:rPr>
          <w:color w:val="231F20"/>
          <w:spacing w:val="-26"/>
        </w:rPr>
        <w:t>加强洪水、地质等重大灾害应急保障能力，加大矛盾纠纷排查、司</w:t>
      </w:r>
      <w:r>
        <w:rPr>
          <w:color w:val="231F20"/>
          <w:spacing w:val="-25"/>
        </w:rPr>
        <w:t>法救助等资金支持，保障弱势群体合法权益，维护社会公平正义。</w:t>
      </w:r>
    </w:p>
    <w:p>
      <w:pPr>
        <w:pStyle w:val="BodyText"/>
        <w:spacing w:line="300" w:lineRule="auto"/>
        <w:ind w:left="271" w:right="108" w:firstLine="536"/>
      </w:pPr>
      <w:r>
        <w:rPr>
          <w:rFonts w:ascii="楷体_GB2312" w:hAnsi="楷体_GB2312" w:eastAsia="楷体_GB2312" w:hint="eastAsia"/>
          <w:color w:val="231F20"/>
          <w:spacing w:val="-44"/>
        </w:rPr>
        <w:t>（</w:t>
      </w:r>
      <w:r>
        <w:rPr>
          <w:rFonts w:ascii="楷体_GB2312" w:hAnsi="楷体_GB2312" w:eastAsia="楷体_GB2312" w:hint="eastAsia"/>
          <w:color w:val="231F20"/>
          <w:spacing w:val="-43"/>
        </w:rPr>
        <w:t>五</w:t>
      </w:r>
      <w:r>
        <w:rPr>
          <w:rFonts w:ascii="楷体_GB2312" w:hAnsi="楷体_GB2312" w:eastAsia="楷体_GB2312" w:hint="eastAsia"/>
          <w:color w:val="231F20"/>
          <w:spacing w:val="-116"/>
        </w:rPr>
        <w:t>）</w:t>
      </w:r>
      <w:r>
        <w:rPr>
          <w:rFonts w:ascii="楷体_GB2312" w:hAnsi="楷体_GB2312" w:eastAsia="楷体_GB2312" w:hint="eastAsia"/>
          <w:color w:val="231F20"/>
          <w:spacing w:val="-13"/>
        </w:rPr>
        <w:t>支持乡村振兴战略，服务三农发展。</w:t>
      </w:r>
      <w:r>
        <w:rPr>
          <w:color w:val="231F20"/>
        </w:rPr>
        <w:t>一是持续做好脱贫</w:t>
      </w:r>
      <w:r>
        <w:rPr>
          <w:color w:val="231F20"/>
          <w:spacing w:val="-10"/>
        </w:rPr>
        <w:t>攻坚与乡村振兴工作的有效衔接，继续做好衔接资金安排，加快</w:t>
      </w:r>
      <w:r>
        <w:rPr>
          <w:color w:val="231F20"/>
          <w:spacing w:val="-17"/>
        </w:rPr>
        <w:t>实施脱贫村发展产业和农村基础设施补短板项目，积极支持省级</w:t>
      </w:r>
      <w:r>
        <w:rPr>
          <w:color w:val="231F20"/>
          <w:spacing w:val="-11"/>
        </w:rPr>
        <w:t>宜居宜业和美乡村“四合”先导区建设，通过财政支持和政策引</w:t>
      </w:r>
      <w:r>
        <w:rPr>
          <w:color w:val="231F20"/>
          <w:spacing w:val="-7"/>
        </w:rPr>
        <w:t>导，改善农村基础设施，推动农村人居环境的改善和生态保护。</w:t>
      </w:r>
      <w:r>
        <w:rPr>
          <w:color w:val="231F20"/>
          <w:spacing w:val="-13"/>
        </w:rPr>
        <w:t>促进农业现代化和农民增收，巩固脱贫攻坚成果，守牢防返贫底</w:t>
      </w:r>
      <w:r>
        <w:rPr>
          <w:color w:val="231F20"/>
          <w:spacing w:val="-20"/>
        </w:rPr>
        <w:t>线。二是紧紧围绕打造沿黄现代农业示范区建设，统筹整合各类</w:t>
      </w:r>
      <w:r>
        <w:rPr>
          <w:color w:val="231F20"/>
          <w:spacing w:val="-36"/>
        </w:rPr>
        <w:t>涉农资金，持续巩固提高“六个万亩”基地规模化、标准化、绿色化</w:t>
      </w:r>
      <w:r>
        <w:rPr>
          <w:color w:val="231F20"/>
          <w:spacing w:val="-14"/>
        </w:rPr>
        <w:t>水平，支持复合型沿黄农文旅融合发展示范带建设，实现一二三</w:t>
      </w:r>
      <w:r>
        <w:rPr>
          <w:color w:val="231F20"/>
          <w:spacing w:val="-10"/>
        </w:rPr>
        <w:t>产融合发展。三是深入实施藏粮于地、藏粮于技战略，紧盯国家</w:t>
      </w:r>
      <w:r>
        <w:rPr>
          <w:color w:val="231F20"/>
          <w:spacing w:val="-13"/>
        </w:rPr>
        <w:t>农村综合改革、产粮大县补贴等政策方向，为我市争取更多的上</w:t>
      </w:r>
      <w:r>
        <w:rPr>
          <w:color w:val="231F20"/>
          <w:spacing w:val="-28"/>
        </w:rPr>
        <w:t>级财政资金；利用好农业保险及小额贷款贴息政策，开展小麦、玉</w:t>
      </w:r>
      <w:r>
        <w:rPr>
          <w:color w:val="231F20"/>
          <w:spacing w:val="-10"/>
        </w:rPr>
        <w:t>米主粮作物和养殖业保险全覆盖，结合我市产业发展规划，开展</w:t>
      </w:r>
      <w:r>
        <w:rPr>
          <w:color w:val="231F20"/>
          <w:spacing w:val="-21"/>
        </w:rPr>
        <w:t>地方特色险种，确保粮食安全，促进农民持续增收。</w:t>
      </w:r>
    </w:p>
    <w:p>
      <w:pPr>
        <w:pStyle w:val="BodyText"/>
        <w:spacing w:line="382" w:lineRule="exact"/>
        <w:ind w:left="807"/>
      </w:pPr>
      <w:r>
        <w:rPr>
          <w:rFonts w:ascii="楷体_GB2312" w:eastAsia="楷体_GB2312" w:hint="eastAsia"/>
          <w:color w:val="231F20"/>
          <w:spacing w:val="-44"/>
        </w:rPr>
        <w:t>（</w:t>
      </w:r>
      <w:r>
        <w:rPr>
          <w:rFonts w:ascii="楷体_GB2312" w:eastAsia="楷体_GB2312" w:hint="eastAsia"/>
          <w:color w:val="231F20"/>
          <w:spacing w:val="-43"/>
        </w:rPr>
        <w:t>六</w:t>
      </w:r>
      <w:r>
        <w:rPr>
          <w:rFonts w:ascii="楷体_GB2312" w:eastAsia="楷体_GB2312" w:hint="eastAsia"/>
          <w:color w:val="231F20"/>
          <w:spacing w:val="-116"/>
        </w:rPr>
        <w:t>）</w:t>
      </w:r>
      <w:r>
        <w:rPr>
          <w:rFonts w:ascii="楷体_GB2312" w:eastAsia="楷体_GB2312" w:hint="eastAsia"/>
          <w:color w:val="231F20"/>
          <w:spacing w:val="-14"/>
        </w:rPr>
        <w:t>稳妥有序，防范化解政府债务风险。</w:t>
      </w:r>
      <w:r>
        <w:rPr>
          <w:color w:val="231F20"/>
        </w:rPr>
        <w:t>坚决落实国家一揽</w:t>
      </w:r>
    </w:p>
    <w:p>
      <w:pPr>
        <w:pStyle w:val="BodyText"/>
        <w:spacing w:line="300" w:lineRule="auto" w:before="93"/>
        <w:ind w:left="271" w:right="268"/>
        <w:jc w:val="both"/>
      </w:pPr>
      <w:r>
        <w:rPr>
          <w:color w:val="231F20"/>
          <w:spacing w:val="-26"/>
        </w:rPr>
        <w:t>子化债方案，用足用好化债支持政策，切实防范化解风险，健全依</w:t>
      </w:r>
      <w:r>
        <w:rPr>
          <w:color w:val="231F20"/>
          <w:spacing w:val="-25"/>
        </w:rPr>
        <w:t>法“遏新增、化存量”的长效机制。一是完善地方政府法定债务管</w:t>
      </w:r>
      <w:r>
        <w:rPr>
          <w:color w:val="231F20"/>
          <w:spacing w:val="-34"/>
        </w:rPr>
        <w:t>理。强化专项债券“借、用、管、还”全生命周期管理，提高专项债</w:t>
      </w:r>
      <w:r>
        <w:rPr>
          <w:color w:val="231F20"/>
          <w:spacing w:val="-12"/>
        </w:rPr>
        <w:t>券资金使用效益，确保按时偿还、不出风险。二是加强债券资金使用管理。财政部已经明确，允许专项债券用于土地储备、回收</w:t>
      </w:r>
    </w:p>
    <w:p>
      <w:pPr>
        <w:spacing w:after="0" w:line="300" w:lineRule="auto"/>
        <w:jc w:val="both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103" w:right="268" w:firstLine="166"/>
        <w:jc w:val="both"/>
      </w:pPr>
      <w:r>
        <w:rPr>
          <w:color w:val="231F20"/>
          <w:spacing w:val="-14"/>
        </w:rPr>
        <w:t>闲置存量土地，以及收购存量商品房用作保障性住房，并提出了</w:t>
      </w:r>
      <w:r>
        <w:rPr>
          <w:color w:val="231F20"/>
          <w:spacing w:val="-27"/>
        </w:rPr>
        <w:t>一揽子新政策，我们要抓住机遇，推进专项债券早发快支、提质增</w:t>
      </w:r>
      <w:r>
        <w:rPr>
          <w:color w:val="231F20"/>
          <w:spacing w:val="-13"/>
        </w:rPr>
        <w:t>效。同时积极争取并用好超长期特别国债，加快推进“两重”项</w:t>
      </w:r>
      <w:r>
        <w:rPr>
          <w:color w:val="231F20"/>
        </w:rPr>
        <w:t>目建设，以项目高质量推动经济发展高质量。三是严格管控政</w:t>
      </w:r>
      <w:r>
        <w:rPr>
          <w:color w:val="231F20"/>
          <w:spacing w:val="17"/>
        </w:rPr>
        <w:t>府债务风险。持续加强全口径债务监测，保持对新增债务的</w:t>
      </w:r>
      <w:r>
        <w:rPr>
          <w:color w:val="231F20"/>
          <w:spacing w:val="-17"/>
        </w:rPr>
        <w:t>“零容忍”，坚决堵住违法违规举债的“后门”，守住不新增债务</w:t>
      </w:r>
      <w:r>
        <w:rPr>
          <w:color w:val="231F20"/>
          <w:spacing w:val="-48"/>
        </w:rPr>
        <w:t>的“底线”。</w:t>
      </w:r>
    </w:p>
    <w:p>
      <w:pPr>
        <w:pStyle w:val="BodyText"/>
        <w:spacing w:line="396" w:lineRule="exact"/>
        <w:ind w:left="805"/>
      </w:pPr>
      <w:r>
        <w:rPr>
          <w:rFonts w:ascii="楷体_GB2312" w:eastAsia="楷体_GB2312" w:hint="eastAsia"/>
          <w:color w:val="231F20"/>
          <w:spacing w:val="-43"/>
        </w:rPr>
        <w:t>（七</w:t>
      </w:r>
      <w:r>
        <w:rPr>
          <w:rFonts w:ascii="楷体_GB2312" w:eastAsia="楷体_GB2312" w:hint="eastAsia"/>
          <w:color w:val="231F20"/>
          <w:spacing w:val="-115"/>
        </w:rPr>
        <w:t>）</w:t>
      </w:r>
      <w:r>
        <w:rPr>
          <w:rFonts w:ascii="楷体_GB2312" w:eastAsia="楷体_GB2312" w:hint="eastAsia"/>
          <w:color w:val="231F20"/>
          <w:spacing w:val="-14"/>
        </w:rPr>
        <w:t>深化财政改革，提升财政现代化管理水平。</w:t>
      </w:r>
      <w:r>
        <w:rPr>
          <w:color w:val="231F20"/>
        </w:rPr>
        <w:t>一是全面加</w:t>
      </w:r>
    </w:p>
    <w:p>
      <w:pPr>
        <w:pStyle w:val="BodyText"/>
        <w:spacing w:line="300" w:lineRule="auto" w:before="101"/>
        <w:ind w:left="269" w:right="268"/>
        <w:jc w:val="both"/>
      </w:pPr>
      <w:r>
        <w:rPr>
          <w:color w:val="231F20"/>
          <w:spacing w:val="-26"/>
        </w:rPr>
        <w:t>强预算绩效管理。按照“预算编制有目标、预算执行有监控、预算</w:t>
      </w:r>
      <w:r>
        <w:rPr>
          <w:color w:val="231F20"/>
          <w:spacing w:val="-27"/>
        </w:rPr>
        <w:t>完成有评价、评价结果有反馈、反馈结果有应用”的全链条机制管理要求，加强重大财政政策评估评价，加强公共服务绩效管理，将</w:t>
      </w:r>
      <w:r>
        <w:rPr>
          <w:color w:val="231F20"/>
          <w:spacing w:val="-30"/>
        </w:rPr>
        <w:t>评价结果与完善政策、调整预算、资金分配有机衔接，增强政策可</w:t>
      </w:r>
      <w:r>
        <w:rPr>
          <w:color w:val="231F20"/>
          <w:spacing w:val="-10"/>
        </w:rPr>
        <w:t>行性和财政可持续性。二是深化财政领域“放管服”改革。持续</w:t>
      </w:r>
      <w:r>
        <w:rPr>
          <w:color w:val="231F20"/>
          <w:spacing w:val="-20"/>
        </w:rPr>
        <w:t>优化政府采购营商环境，扎实开展“万人助万企”活动，强化政府</w:t>
      </w:r>
      <w:r>
        <w:rPr>
          <w:color w:val="231F20"/>
          <w:spacing w:val="-22"/>
        </w:rPr>
        <w:t>采购贷款对中小企业资金支持力度；加强政府投资建设项目评审</w:t>
      </w:r>
      <w:r>
        <w:rPr>
          <w:color w:val="231F20"/>
          <w:spacing w:val="5"/>
        </w:rPr>
        <w:t>工作</w:t>
      </w:r>
      <w:r>
        <w:rPr>
          <w:rFonts w:ascii="Times New Roman" w:hAnsi="Times New Roman" w:eastAsia="Times New Roman"/>
          <w:color w:val="231F20"/>
          <w:spacing w:val="11"/>
        </w:rPr>
        <w:t>,</w:t>
      </w:r>
      <w:r>
        <w:rPr>
          <w:color w:val="231F20"/>
          <w:spacing w:val="1"/>
        </w:rPr>
        <w:t>建立项目复审机制和评审限时办结制度，加快评审办理时</w:t>
      </w:r>
      <w:r>
        <w:rPr>
          <w:color w:val="231F20"/>
          <w:spacing w:val="-25"/>
        </w:rPr>
        <w:t>效，提高公开、公平、公正的竞争机制。三是强化财会监督。依法</w:t>
      </w:r>
      <w:r>
        <w:rPr>
          <w:color w:val="231F20"/>
          <w:spacing w:val="-10"/>
        </w:rPr>
        <w:t>履行财会监督主责，加大预算管理、国库管理、政府债务风险防</w:t>
      </w:r>
      <w:r>
        <w:rPr>
          <w:color w:val="231F20"/>
          <w:spacing w:val="-44"/>
        </w:rPr>
        <w:t>范、基层“三保”、农村集体“三资”、国有资产处置等重点方面的监</w:t>
      </w:r>
      <w:r>
        <w:rPr>
          <w:color w:val="231F20"/>
          <w:spacing w:val="-28"/>
        </w:rPr>
        <w:t>督检查力度，提高监管工作成效。</w:t>
      </w:r>
    </w:p>
    <w:p>
      <w:pPr>
        <w:pStyle w:val="BodyText"/>
        <w:spacing w:line="386" w:lineRule="exact"/>
        <w:ind w:left="805"/>
      </w:pPr>
      <w:r>
        <w:rPr>
          <w:rFonts w:ascii="楷体_GB2312" w:eastAsia="楷体_GB2312" w:hint="eastAsia"/>
          <w:color w:val="231F20"/>
          <w:spacing w:val="-43"/>
        </w:rPr>
        <w:t>（八</w:t>
      </w:r>
      <w:r>
        <w:rPr>
          <w:rFonts w:ascii="楷体_GB2312" w:eastAsia="楷体_GB2312" w:hint="eastAsia"/>
          <w:color w:val="231F20"/>
          <w:spacing w:val="-115"/>
        </w:rPr>
        <w:t>）</w:t>
      </w:r>
      <w:r>
        <w:rPr>
          <w:rFonts w:ascii="楷体_GB2312" w:eastAsia="楷体_GB2312" w:hint="eastAsia"/>
          <w:color w:val="231F20"/>
          <w:spacing w:val="-14"/>
        </w:rPr>
        <w:t>坚持开门纳谏，自觉接受人民监督。</w:t>
      </w:r>
      <w:r>
        <w:rPr>
          <w:color w:val="231F20"/>
        </w:rPr>
        <w:t>认真听取吸纳人大</w:t>
      </w:r>
    </w:p>
    <w:p>
      <w:pPr>
        <w:pStyle w:val="BodyText"/>
        <w:spacing w:line="300" w:lineRule="auto" w:before="100"/>
        <w:ind w:left="269" w:right="268"/>
        <w:jc w:val="both"/>
      </w:pPr>
      <w:r>
        <w:rPr>
          <w:color w:val="231F20"/>
          <w:spacing w:val="-12"/>
        </w:rPr>
        <w:t>代表和社会各界意见建议，持续加强和改进财政预算管理，提高</w:t>
      </w:r>
      <w:r>
        <w:rPr>
          <w:color w:val="231F20"/>
          <w:spacing w:val="6"/>
        </w:rPr>
        <w:t>预算编制的科学性有效性。及时报告财税改革和财政重点工作</w:t>
      </w:r>
      <w:r>
        <w:rPr>
          <w:color w:val="231F20"/>
          <w:spacing w:val="-13"/>
        </w:rPr>
        <w:t>进展，做好与代表委员日常沟通交流，认真研究代表委员提出的</w:t>
      </w:r>
    </w:p>
    <w:p>
      <w:pPr>
        <w:spacing w:after="0" w:line="300" w:lineRule="auto"/>
        <w:jc w:val="both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0" w:right="269"/>
        <w:jc w:val="both"/>
      </w:pPr>
      <w:r>
        <w:rPr>
          <w:color w:val="231F20"/>
          <w:spacing w:val="-25"/>
        </w:rPr>
        <w:t>意见建议，把办理建议提案同完善政策、健全机制、改进工作结合</w:t>
      </w:r>
      <w:r>
        <w:rPr>
          <w:color w:val="231F20"/>
          <w:spacing w:val="-13"/>
        </w:rPr>
        <w:t>起来，推动解决群众关心、社会关注的重点难点问题。加大审计</w:t>
      </w:r>
      <w:r>
        <w:rPr>
          <w:color w:val="231F20"/>
          <w:spacing w:val="-26"/>
        </w:rPr>
        <w:t>查出问题整改力度，严格落实整改责任，加强跟踪督办，不断提高服务发展能力和财政保障水平。</w:t>
      </w:r>
    </w:p>
    <w:p>
      <w:pPr>
        <w:pStyle w:val="BodyText"/>
        <w:spacing w:line="300" w:lineRule="auto"/>
        <w:ind w:left="270" w:right="109" w:firstLine="651"/>
        <w:rPr>
          <w:rFonts w:ascii="Times New Roman" w:hAnsi="Times New Roman" w:eastAsia="Times New Roman"/>
        </w:rPr>
      </w:pPr>
      <w:r>
        <w:rPr>
          <w:color w:val="231F20"/>
          <w:spacing w:val="-13"/>
        </w:rPr>
        <w:t>各位代表，做好今年财政工作责任重大、任务艰巨。我们将</w:t>
      </w:r>
      <w:r>
        <w:rPr>
          <w:color w:val="231F20"/>
          <w:spacing w:val="-6"/>
        </w:rPr>
        <w:t>坚持以习近平新时代中国特色社会主义思想为指导，在市委、市</w:t>
      </w:r>
      <w:r>
        <w:rPr>
          <w:color w:val="231F20"/>
        </w:rPr>
        <w:t>政府的正确领导下，自觉接受人大的法律监督和政协的民主监</w:t>
      </w:r>
      <w:r>
        <w:rPr>
          <w:color w:val="231F20"/>
          <w:spacing w:val="-28"/>
        </w:rPr>
        <w:t>督，积极应对新形势、新机遇、新挑战，坚持稳字当头、稳中求进， </w:t>
      </w:r>
      <w:r>
        <w:rPr>
          <w:color w:val="231F20"/>
        </w:rPr>
        <w:t>继续实施积极的财政政策，以饱满的精神状态和奋斗姿态全面</w:t>
      </w:r>
      <w:r>
        <w:rPr>
          <w:color w:val="231F20"/>
          <w:spacing w:val="-11"/>
        </w:rPr>
        <w:t>落实既定的各项目标任务，为我市“冲刺全国百强县”贡献财政</w:t>
      </w:r>
      <w:r>
        <w:rPr>
          <w:color w:val="231F20"/>
          <w:spacing w:val="5"/>
        </w:rPr>
        <w:t>力量</w:t>
      </w:r>
      <w:r>
        <w:rPr>
          <w:rFonts w:ascii="Times New Roman" w:hAnsi="Times New Roman" w:eastAsia="Times New Roman"/>
          <w:color w:val="231F20"/>
        </w:rPr>
        <w:t>!</w:t>
      </w:r>
    </w:p>
    <w:p>
      <w:pPr>
        <w:spacing w:after="0" w:line="300" w:lineRule="auto"/>
        <w:rPr>
          <w:rFonts w:ascii="Times New Roman" w:hAnsi="Times New Roman" w:eastAsia="Times New Roman"/>
        </w:rPr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8"/>
        </w:rPr>
      </w:pPr>
    </w:p>
    <w:p>
      <w:pPr>
        <w:pStyle w:val="BodyText"/>
        <w:spacing w:before="30"/>
        <w:ind w:left="269"/>
        <w:rPr>
          <w:rFonts w:ascii="方正黑体_GBK" w:eastAsia="方正黑体_GBK" w:hint="eastAsia"/>
        </w:rPr>
      </w:pPr>
      <w:r>
        <w:rPr>
          <w:rFonts w:ascii="方正黑体_GBK" w:eastAsia="方正黑体_GBK" w:hint="eastAsia"/>
          <w:color w:val="231F20"/>
        </w:rPr>
        <w:t>附件</w:t>
      </w:r>
    </w:p>
    <w:p>
      <w:pPr>
        <w:pStyle w:val="BodyText"/>
        <w:spacing w:before="12"/>
        <w:rPr>
          <w:rFonts w:ascii="方正黑体_GBK"/>
          <w:sz w:val="21"/>
        </w:rPr>
      </w:pPr>
    </w:p>
    <w:p>
      <w:pPr>
        <w:pStyle w:val="Heading1"/>
        <w:spacing w:line="723" w:lineRule="exact"/>
        <w:jc w:val="center"/>
        <w:rPr>
          <w:rFonts w:ascii="方正小标宋_GBK" w:eastAsia="方正小标宋_GBK" w:hint="eastAsia"/>
        </w:rPr>
      </w:pPr>
      <w:r>
        <w:rPr>
          <w:rFonts w:ascii="方正小标宋_GBK" w:eastAsia="方正小标宋_GBK" w:hint="eastAsia"/>
          <w:color w:val="231F20"/>
        </w:rPr>
        <w:t>名 词 解 释</w:t>
      </w:r>
    </w:p>
    <w:p>
      <w:pPr>
        <w:pStyle w:val="BodyText"/>
        <w:spacing w:before="10"/>
        <w:rPr>
          <w:rFonts w:ascii="方正小标宋_GBK"/>
          <w:sz w:val="26"/>
        </w:rPr>
      </w:pPr>
    </w:p>
    <w:p>
      <w:pPr>
        <w:pStyle w:val="ListParagraph"/>
        <w:numPr>
          <w:ilvl w:val="0"/>
          <w:numId w:val="1"/>
        </w:numPr>
        <w:tabs>
          <w:tab w:pos="1244" w:val="left" w:leader="none"/>
        </w:tabs>
        <w:spacing w:line="300" w:lineRule="auto" w:before="65" w:after="0"/>
        <w:ind w:left="270" w:right="269" w:firstLine="65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32"/>
          <w:sz w:val="32"/>
        </w:rPr>
        <w:t>四本预算：</w:t>
      </w:r>
      <w:r>
        <w:rPr>
          <w:color w:val="231F20"/>
          <w:spacing w:val="-19"/>
          <w:sz w:val="32"/>
        </w:rPr>
        <w:t>包括一般公共预算、政府性基金预算、国有资本</w:t>
      </w:r>
      <w:r>
        <w:rPr>
          <w:color w:val="231F20"/>
          <w:spacing w:val="-13"/>
          <w:sz w:val="32"/>
        </w:rPr>
        <w:t>经营预算、社会保险基金预算，它们在国家财政体系中承担不同</w:t>
      </w:r>
      <w:r>
        <w:rPr>
          <w:color w:val="231F20"/>
          <w:spacing w:val="-15"/>
          <w:sz w:val="32"/>
        </w:rPr>
        <w:t>职能，共同构成国家财政收支体系。四本预算之间既相互独立又</w:t>
      </w:r>
      <w:r>
        <w:rPr>
          <w:color w:val="231F20"/>
          <w:spacing w:val="-12"/>
          <w:sz w:val="32"/>
        </w:rPr>
        <w:t>相互联系，需要加强衔接和协调，以合理配置和高效使用财政资</w:t>
      </w:r>
      <w:r>
        <w:rPr>
          <w:color w:val="231F20"/>
          <w:spacing w:val="-20"/>
          <w:sz w:val="32"/>
        </w:rPr>
        <w:t>金。随着经济社会发展和国家治理体系完善，四本预算需要不断</w:t>
      </w:r>
      <w:r>
        <w:rPr>
          <w:color w:val="231F20"/>
          <w:spacing w:val="-18"/>
          <w:sz w:val="32"/>
        </w:rPr>
        <w:t>改革和创新，以更好地发挥其在国家治理体系中的作用。</w:t>
      </w:r>
    </w:p>
    <w:p>
      <w:pPr>
        <w:pStyle w:val="ListParagraph"/>
        <w:numPr>
          <w:ilvl w:val="0"/>
          <w:numId w:val="1"/>
        </w:numPr>
        <w:tabs>
          <w:tab w:pos="1251" w:val="left" w:leader="none"/>
        </w:tabs>
        <w:spacing w:line="300" w:lineRule="auto" w:before="0" w:after="0"/>
        <w:ind w:left="270" w:right="269" w:firstLine="65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16"/>
          <w:sz w:val="32"/>
        </w:rPr>
        <w:t>一般公共预算：</w:t>
      </w:r>
      <w:r>
        <w:rPr>
          <w:color w:val="231F20"/>
          <w:spacing w:val="-5"/>
          <w:sz w:val="32"/>
        </w:rPr>
        <w:t>是对以税收为主体的财政收入，安排用于</w:t>
      </w:r>
      <w:r>
        <w:rPr>
          <w:color w:val="231F20"/>
          <w:spacing w:val="-25"/>
          <w:sz w:val="32"/>
        </w:rPr>
        <w:t>保障和改善民生、推动经济社会发展、维护国家安全、维持国家机</w:t>
      </w:r>
      <w:r>
        <w:rPr>
          <w:color w:val="231F20"/>
          <w:spacing w:val="6"/>
          <w:sz w:val="32"/>
        </w:rPr>
        <w:t>构正常运转等方面的收支预算。地方各级一般公共预算包括本</w:t>
      </w:r>
      <w:r>
        <w:rPr>
          <w:color w:val="231F20"/>
          <w:spacing w:val="24"/>
          <w:sz w:val="32"/>
        </w:rPr>
        <w:t>级各部门</w:t>
      </w:r>
      <w:r>
        <w:rPr>
          <w:rFonts w:ascii="Times New Roman" w:eastAsia="Times New Roman"/>
          <w:color w:val="231F20"/>
          <w:spacing w:val="24"/>
          <w:sz w:val="32"/>
        </w:rPr>
        <w:t>(</w:t>
      </w:r>
      <w:r>
        <w:rPr>
          <w:color w:val="231F20"/>
          <w:sz w:val="32"/>
        </w:rPr>
        <w:t>含直属单位，下同</w:t>
      </w:r>
      <w:r>
        <w:rPr>
          <w:rFonts w:ascii="Times New Roman" w:eastAsia="Times New Roman"/>
          <w:color w:val="231F20"/>
          <w:spacing w:val="24"/>
          <w:sz w:val="32"/>
        </w:rPr>
        <w:t>)</w:t>
      </w:r>
      <w:r>
        <w:rPr>
          <w:color w:val="231F20"/>
          <w:spacing w:val="8"/>
          <w:sz w:val="32"/>
        </w:rPr>
        <w:t>的预算和税收返还、转移支付预</w:t>
      </w:r>
      <w:r>
        <w:rPr>
          <w:color w:val="231F20"/>
          <w:spacing w:val="-7"/>
          <w:sz w:val="32"/>
        </w:rPr>
        <w:t>算。地方各级一般公共预算收入包括地方本级收入、上级政府对</w:t>
      </w:r>
      <w:r>
        <w:rPr>
          <w:color w:val="231F20"/>
          <w:spacing w:val="-16"/>
          <w:sz w:val="32"/>
        </w:rPr>
        <w:t>本级政府的税收返还和转移支付、下级政府的上解收入。地方各</w:t>
      </w:r>
      <w:r>
        <w:rPr>
          <w:color w:val="231F20"/>
          <w:spacing w:val="4"/>
          <w:sz w:val="32"/>
        </w:rPr>
        <w:t>级一般公共预算支出包括地方本级支出、对上级政府的上解支</w:t>
      </w:r>
      <w:r>
        <w:rPr>
          <w:color w:val="231F20"/>
          <w:spacing w:val="-14"/>
          <w:sz w:val="32"/>
        </w:rPr>
        <w:t>出、对下级政府的税收返还和转移支付。</w:t>
      </w:r>
    </w:p>
    <w:p>
      <w:pPr>
        <w:pStyle w:val="ListParagraph"/>
        <w:numPr>
          <w:ilvl w:val="0"/>
          <w:numId w:val="1"/>
        </w:numPr>
        <w:tabs>
          <w:tab w:pos="1251" w:val="left" w:leader="none"/>
        </w:tabs>
        <w:spacing w:line="394" w:lineRule="exact" w:before="0" w:after="0"/>
        <w:ind w:left="1250" w:right="0" w:hanging="329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14"/>
          <w:sz w:val="32"/>
        </w:rPr>
        <w:t>政府性基金预算：</w:t>
      </w:r>
      <w:r>
        <w:rPr>
          <w:color w:val="231F20"/>
          <w:spacing w:val="-7"/>
          <w:sz w:val="32"/>
        </w:rPr>
        <w:t>是对依照法律、行政法规的规定在一定</w:t>
      </w:r>
    </w:p>
    <w:p>
      <w:pPr>
        <w:pStyle w:val="BodyText"/>
        <w:spacing w:line="300" w:lineRule="auto" w:before="89"/>
        <w:ind w:left="270" w:right="269"/>
        <w:jc w:val="both"/>
      </w:pPr>
      <w:r>
        <w:rPr>
          <w:color w:val="231F20"/>
          <w:spacing w:val="-12"/>
        </w:rPr>
        <w:t>期限内向特定对象征收、收取或者以其他方式筹集的资金，专项</w:t>
      </w:r>
      <w:r>
        <w:rPr>
          <w:color w:val="231F20"/>
          <w:spacing w:val="6"/>
        </w:rPr>
        <w:t>用于特定公共事业发展的收支预算。政府性基金预算应当根据</w:t>
      </w:r>
      <w:r>
        <w:rPr>
          <w:color w:val="231F20"/>
          <w:spacing w:val="-11"/>
        </w:rPr>
        <w:t>基金项目收入情况和实际支出需要，按基金项目编制，做到以收</w:t>
      </w:r>
      <w:r>
        <w:rPr>
          <w:color w:val="231F20"/>
          <w:spacing w:val="-18"/>
        </w:rPr>
        <w:t>定支。政府性基金是各级政府依据法律法规向公民、法人和其他</w:t>
      </w:r>
      <w:r>
        <w:rPr>
          <w:color w:val="231F20"/>
          <w:spacing w:val="-8"/>
        </w:rPr>
        <w:t>组织无偿征收的具有专项用途的财政资金，如土地出让收入、城</w:t>
      </w:r>
    </w:p>
    <w:p>
      <w:pPr>
        <w:spacing w:after="0" w:line="300" w:lineRule="auto"/>
        <w:jc w:val="both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3"/>
        <w:ind w:left="271"/>
      </w:pPr>
      <w:r>
        <w:rPr>
          <w:color w:val="231F20"/>
        </w:rPr>
        <w:t>市基础设施配套费、城市公共事业附加等。</w:t>
      </w:r>
    </w:p>
    <w:p>
      <w:pPr>
        <w:pStyle w:val="ListParagraph"/>
        <w:numPr>
          <w:ilvl w:val="0"/>
          <w:numId w:val="1"/>
        </w:numPr>
        <w:tabs>
          <w:tab w:pos="1245" w:val="left" w:leader="none"/>
        </w:tabs>
        <w:spacing w:line="300" w:lineRule="auto" w:before="101" w:after="0"/>
        <w:ind w:left="271" w:right="268" w:firstLine="65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18"/>
          <w:sz w:val="32"/>
        </w:rPr>
        <w:t>国有资本经营预算：</w:t>
      </w:r>
      <w:r>
        <w:rPr>
          <w:color w:val="231F20"/>
          <w:sz w:val="32"/>
        </w:rPr>
        <w:t>是对国有资本收益作出支出安排的收</w:t>
      </w:r>
      <w:r>
        <w:rPr>
          <w:color w:val="231F20"/>
          <w:spacing w:val="-7"/>
          <w:sz w:val="32"/>
        </w:rPr>
        <w:t>支预算。国有资本经营预算应当按照收支平衡的原则编制，不列</w:t>
      </w:r>
      <w:r>
        <w:rPr>
          <w:color w:val="231F20"/>
          <w:spacing w:val="-14"/>
          <w:sz w:val="32"/>
        </w:rPr>
        <w:t>赤字，并安排资金调入一般公共预算。</w:t>
      </w:r>
    </w:p>
    <w:p>
      <w:pPr>
        <w:pStyle w:val="ListParagraph"/>
        <w:numPr>
          <w:ilvl w:val="0"/>
          <w:numId w:val="1"/>
        </w:numPr>
        <w:tabs>
          <w:tab w:pos="1251" w:val="left" w:leader="none"/>
        </w:tabs>
        <w:spacing w:line="300" w:lineRule="auto" w:before="0" w:after="0"/>
        <w:ind w:left="271" w:right="268" w:firstLine="65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11"/>
          <w:sz w:val="32"/>
        </w:rPr>
        <w:t>社会保险基金预算：</w:t>
      </w:r>
      <w:r>
        <w:rPr>
          <w:color w:val="231F20"/>
          <w:spacing w:val="-6"/>
          <w:sz w:val="32"/>
        </w:rPr>
        <w:t>是对社会保险缴款、一般公共预算安</w:t>
      </w:r>
      <w:r>
        <w:rPr>
          <w:color w:val="231F20"/>
          <w:spacing w:val="-15"/>
          <w:sz w:val="32"/>
        </w:rPr>
        <w:t>排和其他方式筹集的资金，专项用于社会保险的收支预算。社会</w:t>
      </w:r>
      <w:r>
        <w:rPr>
          <w:color w:val="231F20"/>
          <w:spacing w:val="-21"/>
          <w:sz w:val="32"/>
        </w:rPr>
        <w:t>保险基金预算应当按照统筹层次和社会保险项目分别编制，做到收支平衡。</w:t>
      </w:r>
    </w:p>
    <w:p>
      <w:pPr>
        <w:pStyle w:val="ListParagraph"/>
        <w:numPr>
          <w:ilvl w:val="0"/>
          <w:numId w:val="1"/>
        </w:numPr>
        <w:tabs>
          <w:tab w:pos="1245" w:val="left" w:leader="none"/>
        </w:tabs>
        <w:spacing w:line="300" w:lineRule="auto" w:before="0" w:after="0"/>
        <w:ind w:left="271" w:right="268" w:firstLine="65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32"/>
          <w:sz w:val="32"/>
        </w:rPr>
        <w:t>政府债务：</w:t>
      </w:r>
      <w:r>
        <w:rPr>
          <w:color w:val="231F20"/>
          <w:sz w:val="32"/>
        </w:rPr>
        <w:t>地方政府债务是指地方政府为公益性事业发展</w:t>
      </w:r>
      <w:r>
        <w:rPr>
          <w:color w:val="231F20"/>
          <w:spacing w:val="-14"/>
          <w:sz w:val="32"/>
        </w:rPr>
        <w:t>举借，确定由财政资金偿还的债务。预算法规定经国务院批准的</w:t>
      </w:r>
      <w:r>
        <w:rPr>
          <w:color w:val="231F20"/>
          <w:spacing w:val="-26"/>
          <w:sz w:val="32"/>
        </w:rPr>
        <w:t>省、自治区、直辖市等预算中必需的建设投资的部分资金，可以在</w:t>
      </w:r>
      <w:r>
        <w:rPr>
          <w:color w:val="231F20"/>
          <w:spacing w:val="-21"/>
          <w:sz w:val="32"/>
        </w:rPr>
        <w:t>国务院确定的限额内，通过发行地方政府债券举借债务的方式筹</w:t>
      </w:r>
      <w:r>
        <w:rPr>
          <w:color w:val="231F20"/>
          <w:spacing w:val="-20"/>
          <w:sz w:val="32"/>
        </w:rPr>
        <w:t>措。除以上规定外，地方政府及其所属部门不得以任何方式举借</w:t>
      </w:r>
      <w:r>
        <w:rPr>
          <w:color w:val="231F20"/>
          <w:spacing w:val="-21"/>
          <w:sz w:val="32"/>
        </w:rPr>
        <w:t>债务。除法律另有规定外，地方政府及其所属部门不得为任何单</w:t>
      </w:r>
      <w:r>
        <w:rPr>
          <w:color w:val="231F20"/>
          <w:spacing w:val="13"/>
          <w:sz w:val="32"/>
        </w:rPr>
        <w:t>位和个人的债务以任何方式提供担保。从</w:t>
      </w:r>
      <w:r>
        <w:rPr>
          <w:rFonts w:ascii="Times New Roman" w:eastAsia="Times New Roman"/>
          <w:color w:val="231F20"/>
          <w:sz w:val="32"/>
        </w:rPr>
        <w:t>2015</w:t>
      </w:r>
      <w:r>
        <w:rPr>
          <w:rFonts w:ascii="Times New Roman" w:eastAsia="Times New Roman"/>
          <w:color w:val="231F20"/>
          <w:spacing w:val="-29"/>
          <w:sz w:val="32"/>
        </w:rPr>
        <w:t> </w:t>
      </w:r>
      <w:r>
        <w:rPr>
          <w:color w:val="231F20"/>
          <w:spacing w:val="-15"/>
          <w:sz w:val="32"/>
        </w:rPr>
        <w:t>年起，国家对地</w:t>
      </w:r>
      <w:r>
        <w:rPr>
          <w:color w:val="231F20"/>
          <w:spacing w:val="-20"/>
          <w:sz w:val="32"/>
        </w:rPr>
        <w:t>方政府债务余额实行限额管理，债务余额不得突破批准的债务限</w:t>
      </w:r>
      <w:r>
        <w:rPr>
          <w:color w:val="231F20"/>
          <w:spacing w:val="6"/>
          <w:sz w:val="32"/>
        </w:rPr>
        <w:t>额。政府债务限额等于上年地方政府债务限额加上当年新增债</w:t>
      </w:r>
      <w:r>
        <w:rPr>
          <w:color w:val="231F20"/>
          <w:spacing w:val="-26"/>
          <w:sz w:val="32"/>
        </w:rPr>
        <w:t>务限额</w:t>
      </w:r>
      <w:r>
        <w:rPr>
          <w:color w:val="231F20"/>
          <w:spacing w:val="-31"/>
          <w:sz w:val="32"/>
        </w:rPr>
        <w:t>（</w:t>
      </w:r>
      <w:r>
        <w:rPr>
          <w:color w:val="231F20"/>
          <w:spacing w:val="9"/>
          <w:sz w:val="32"/>
        </w:rPr>
        <w:t>或减去当年调减债务限额</w:t>
      </w:r>
      <w:r>
        <w:rPr>
          <w:color w:val="231F20"/>
          <w:spacing w:val="-125"/>
          <w:sz w:val="32"/>
        </w:rPr>
        <w:t>）</w:t>
      </w:r>
      <w:r>
        <w:rPr>
          <w:color w:val="231F20"/>
          <w:spacing w:val="-2"/>
          <w:sz w:val="32"/>
        </w:rPr>
        <w:t>，具体又分为一般债务限额</w:t>
      </w:r>
      <w:r>
        <w:rPr>
          <w:color w:val="231F20"/>
          <w:spacing w:val="6"/>
          <w:sz w:val="32"/>
        </w:rPr>
        <w:t>和专项债务限额。通过财政资金偿还的政府外债纳入债务限额</w:t>
      </w:r>
      <w:r>
        <w:rPr>
          <w:color w:val="231F20"/>
          <w:spacing w:val="3"/>
          <w:sz w:val="32"/>
        </w:rPr>
        <w:t>管理。</w:t>
      </w:r>
    </w:p>
    <w:p>
      <w:pPr>
        <w:pStyle w:val="ListParagraph"/>
        <w:numPr>
          <w:ilvl w:val="0"/>
          <w:numId w:val="1"/>
        </w:numPr>
        <w:tabs>
          <w:tab w:pos="1255" w:val="left" w:leader="none"/>
        </w:tabs>
        <w:spacing w:line="386" w:lineRule="exact" w:before="0" w:after="0"/>
        <w:ind w:left="1254" w:right="0" w:hanging="332"/>
        <w:jc w:val="both"/>
        <w:rPr>
          <w:rFonts w:ascii="Times New Roman" w:hAnsi="Times New Roman" w:eastAsia="Times New Roman"/>
          <w:color w:val="231F20"/>
          <w:sz w:val="32"/>
        </w:rPr>
      </w:pPr>
      <w:r>
        <w:rPr>
          <w:rFonts w:ascii="楷体_GB2312" w:hAnsi="楷体_GB2312" w:eastAsia="楷体_GB2312" w:hint="eastAsia"/>
          <w:color w:val="231F20"/>
          <w:spacing w:val="-59"/>
          <w:sz w:val="32"/>
        </w:rPr>
        <w:t>基层“三保”：</w:t>
      </w:r>
      <w:r>
        <w:rPr>
          <w:color w:val="231F20"/>
          <w:spacing w:val="11"/>
          <w:sz w:val="32"/>
        </w:rPr>
        <w:t>是指县</w:t>
      </w:r>
      <w:r>
        <w:rPr>
          <w:rFonts w:ascii="Times New Roman" w:hAnsi="Times New Roman" w:eastAsia="Times New Roman"/>
          <w:color w:val="231F20"/>
          <w:spacing w:val="11"/>
          <w:sz w:val="32"/>
        </w:rPr>
        <w:t>(</w:t>
      </w:r>
      <w:r>
        <w:rPr>
          <w:color w:val="231F20"/>
          <w:spacing w:val="-46"/>
          <w:sz w:val="32"/>
        </w:rPr>
        <w:t>市、区</w:t>
      </w:r>
      <w:r>
        <w:rPr>
          <w:rFonts w:ascii="Times New Roman" w:hAnsi="Times New Roman" w:eastAsia="Times New Roman"/>
          <w:color w:val="231F20"/>
          <w:spacing w:val="11"/>
          <w:sz w:val="32"/>
        </w:rPr>
        <w:t>)</w:t>
      </w:r>
      <w:r>
        <w:rPr>
          <w:color w:val="231F20"/>
          <w:spacing w:val="-17"/>
          <w:sz w:val="32"/>
        </w:rPr>
        <w:t>保基本民生、保工资、保运转</w:t>
      </w:r>
    </w:p>
    <w:p>
      <w:pPr>
        <w:pStyle w:val="BodyText"/>
        <w:spacing w:line="300" w:lineRule="auto" w:before="86"/>
        <w:ind w:left="271" w:right="268"/>
        <w:jc w:val="both"/>
      </w:pPr>
      <w:r>
        <w:rPr>
          <w:color w:val="231F20"/>
          <w:spacing w:val="-14"/>
        </w:rPr>
        <w:t>相关支出，关系到政府履职尽责和人民群众切身利益，是促进地</w:t>
      </w:r>
      <w:r>
        <w:rPr>
          <w:color w:val="231F20"/>
          <w:spacing w:val="-18"/>
        </w:rPr>
        <w:t>区经济协调发展的基础，也是维护经济运行秩序和社会大局稳定</w:t>
      </w:r>
      <w:r>
        <w:rPr>
          <w:color w:val="231F20"/>
          <w:spacing w:val="-48"/>
        </w:rPr>
        <w:t>的“压舱石”。</w:t>
      </w:r>
    </w:p>
    <w:p>
      <w:pPr>
        <w:spacing w:after="0" w:line="300" w:lineRule="auto"/>
        <w:jc w:val="both"/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1164" w:val="left" w:leader="none"/>
        </w:tabs>
        <w:spacing w:line="300" w:lineRule="auto" w:before="223" w:after="0"/>
        <w:ind w:left="270" w:right="268" w:firstLine="651"/>
        <w:jc w:val="both"/>
        <w:rPr>
          <w:rFonts w:ascii="Times New Roman" w:hAnsi="Times New Roman" w:eastAsia="Times New Roman"/>
          <w:color w:val="231F20"/>
          <w:sz w:val="30"/>
        </w:rPr>
      </w:pPr>
      <w:r>
        <w:rPr>
          <w:rFonts w:ascii="楷体_GB2312" w:hAnsi="楷体_GB2312" w:eastAsia="楷体_GB2312" w:hint="eastAsia"/>
          <w:color w:val="231F20"/>
          <w:spacing w:val="-29"/>
          <w:sz w:val="32"/>
        </w:rPr>
        <w:t>“四高四争先”：</w:t>
      </w:r>
      <w:r>
        <w:rPr>
          <w:color w:val="231F20"/>
          <w:spacing w:val="16"/>
          <w:sz w:val="32"/>
        </w:rPr>
        <w:t>是省委书记刘宁</w:t>
      </w:r>
      <w:r>
        <w:rPr>
          <w:rFonts w:ascii="Times New Roman" w:hAnsi="Times New Roman" w:eastAsia="Times New Roman"/>
          <w:color w:val="231F20"/>
          <w:sz w:val="32"/>
        </w:rPr>
        <w:t>2025</w:t>
      </w:r>
      <w:r>
        <w:rPr>
          <w:rFonts w:ascii="Times New Roman" w:hAnsi="Times New Roman" w:eastAsia="Times New Roman"/>
          <w:color w:val="231F20"/>
          <w:spacing w:val="-29"/>
          <w:sz w:val="32"/>
        </w:rPr>
        <w:t> </w:t>
      </w:r>
      <w:r>
        <w:rPr>
          <w:color w:val="231F20"/>
          <w:spacing w:val="51"/>
          <w:sz w:val="32"/>
        </w:rPr>
        <w:t>年</w:t>
      </w:r>
      <w:r>
        <w:rPr>
          <w:rFonts w:ascii="Times New Roman" w:hAnsi="Times New Roman" w:eastAsia="Times New Roman"/>
          <w:color w:val="231F20"/>
          <w:sz w:val="32"/>
        </w:rPr>
        <w:t>1</w:t>
      </w:r>
      <w:r>
        <w:rPr>
          <w:rFonts w:ascii="Times New Roman" w:hAnsi="Times New Roman" w:eastAsia="Times New Roman"/>
          <w:color w:val="231F20"/>
          <w:spacing w:val="-29"/>
          <w:sz w:val="32"/>
        </w:rPr>
        <w:t> </w:t>
      </w:r>
      <w:r>
        <w:rPr>
          <w:color w:val="231F20"/>
          <w:spacing w:val="51"/>
          <w:sz w:val="32"/>
        </w:rPr>
        <w:t>月</w:t>
      </w:r>
      <w:r>
        <w:rPr>
          <w:rFonts w:ascii="Times New Roman" w:hAnsi="Times New Roman" w:eastAsia="Times New Roman"/>
          <w:color w:val="231F20"/>
          <w:sz w:val="32"/>
        </w:rPr>
        <w:t>21</w:t>
      </w:r>
      <w:r>
        <w:rPr>
          <w:rFonts w:ascii="Times New Roman" w:hAnsi="Times New Roman" w:eastAsia="Times New Roman"/>
          <w:color w:val="231F20"/>
          <w:spacing w:val="-29"/>
          <w:sz w:val="32"/>
        </w:rPr>
        <w:t> </w:t>
      </w:r>
      <w:r>
        <w:rPr>
          <w:color w:val="231F20"/>
          <w:spacing w:val="11"/>
          <w:sz w:val="32"/>
        </w:rPr>
        <w:t>日在省</w:t>
      </w:r>
      <w:r>
        <w:rPr>
          <w:color w:val="231F20"/>
          <w:spacing w:val="4"/>
          <w:sz w:val="32"/>
        </w:rPr>
        <w:t>第十四届人民代表大会第三次会议闭幕会上的讲话中提出的战</w:t>
      </w:r>
      <w:r>
        <w:rPr>
          <w:color w:val="231F20"/>
          <w:spacing w:val="-28"/>
          <w:sz w:val="32"/>
        </w:rPr>
        <w:t>略目标，其中</w:t>
      </w:r>
      <w:r>
        <w:rPr>
          <w:color w:val="231F20"/>
          <w:spacing w:val="-43"/>
          <w:sz w:val="32"/>
        </w:rPr>
        <w:t>“：四高”指“着力推动高质量发展、扩大高水平开放、</w:t>
      </w:r>
      <w:r>
        <w:rPr>
          <w:color w:val="231F20"/>
          <w:spacing w:val="-17"/>
          <w:sz w:val="32"/>
        </w:rPr>
        <w:t>创造高品质生活、实施高效能治理”</w:t>
      </w:r>
      <w:r>
        <w:rPr>
          <w:color w:val="231F20"/>
          <w:spacing w:val="-319"/>
          <w:sz w:val="32"/>
        </w:rPr>
        <w:t>，</w:t>
      </w:r>
      <w:r>
        <w:rPr>
          <w:color w:val="231F20"/>
          <w:spacing w:val="-21"/>
          <w:sz w:val="32"/>
        </w:rPr>
        <w:t>“四争先”指“在融入新发展</w:t>
      </w:r>
      <w:r>
        <w:rPr>
          <w:color w:val="231F20"/>
          <w:spacing w:val="-14"/>
          <w:sz w:val="32"/>
        </w:rPr>
        <w:t>格局和全国统一大市场建设上、在深化改革和创业创新创造上、</w:t>
      </w:r>
      <w:r>
        <w:rPr>
          <w:color w:val="231F20"/>
          <w:spacing w:val="-9"/>
          <w:sz w:val="32"/>
        </w:rPr>
        <w:t>在推动城乡融合发展和乡村全面振兴上、在保障生态安全和促进</w:t>
      </w:r>
      <w:r>
        <w:rPr>
          <w:color w:val="231F20"/>
          <w:spacing w:val="-18"/>
          <w:sz w:val="32"/>
        </w:rPr>
        <w:t>人与自然和谐共生上做到四个奋勇争先”。</w:t>
      </w:r>
    </w:p>
    <w:p>
      <w:pPr>
        <w:pStyle w:val="ListParagraph"/>
        <w:numPr>
          <w:ilvl w:val="0"/>
          <w:numId w:val="1"/>
        </w:numPr>
        <w:tabs>
          <w:tab w:pos="1164" w:val="left" w:leader="none"/>
        </w:tabs>
        <w:spacing w:line="396" w:lineRule="exact" w:before="0" w:after="0"/>
        <w:ind w:left="1163" w:right="0" w:hanging="242"/>
        <w:jc w:val="left"/>
        <w:rPr>
          <w:rFonts w:ascii="Times New Roman" w:hAnsi="Times New Roman" w:eastAsia="Times New Roman"/>
          <w:color w:val="231F20"/>
          <w:sz w:val="30"/>
        </w:rPr>
      </w:pPr>
      <w:r>
        <w:rPr>
          <w:rFonts w:ascii="楷体_GB2312" w:hAnsi="楷体_GB2312" w:eastAsia="楷体_GB2312" w:hint="eastAsia"/>
          <w:color w:val="231F20"/>
          <w:spacing w:val="-39"/>
          <w:sz w:val="32"/>
        </w:rPr>
        <w:t>“两重、两新”</w:t>
      </w:r>
      <w:r>
        <w:rPr>
          <w:rFonts w:ascii="楷体_GB2312" w:hAnsi="楷体_GB2312" w:eastAsia="楷体_GB2312" w:hint="eastAsia"/>
          <w:color w:val="231F20"/>
          <w:spacing w:val="-319"/>
          <w:sz w:val="32"/>
        </w:rPr>
        <w:t>：</w:t>
      </w:r>
      <w:r>
        <w:rPr>
          <w:color w:val="231F20"/>
          <w:spacing w:val="-7"/>
          <w:sz w:val="32"/>
        </w:rPr>
        <w:t>“两重”指的是推进国家重大战略实施和重</w:t>
      </w:r>
    </w:p>
    <w:p>
      <w:pPr>
        <w:pStyle w:val="BodyText"/>
        <w:spacing w:line="300" w:lineRule="auto" w:before="101"/>
        <w:ind w:left="270" w:right="108"/>
      </w:pPr>
      <w:r>
        <w:rPr>
          <w:color w:val="231F20"/>
          <w:spacing w:val="-23"/>
        </w:rPr>
        <w:t>点领域安全能力建设，涉及资金规模大、覆盖面广、综合性强，是</w:t>
      </w:r>
      <w:r>
        <w:rPr>
          <w:color w:val="231F20"/>
          <w:spacing w:val="-30"/>
        </w:rPr>
        <w:t>一项复杂的系统性工程。发行超长期特别国债支持“两重”建设， </w:t>
      </w:r>
      <w:r>
        <w:rPr>
          <w:color w:val="231F20"/>
        </w:rPr>
        <w:t>是党中央着眼强国建设、民族复兴全局作出的一项重大决策部</w:t>
      </w:r>
      <w:r>
        <w:rPr>
          <w:color w:val="231F20"/>
          <w:spacing w:val="-8"/>
        </w:rPr>
        <w:t>署，事关国家安全和民生福祉</w:t>
      </w:r>
      <w:r>
        <w:rPr>
          <w:color w:val="231F20"/>
          <w:spacing w:val="-319"/>
        </w:rPr>
        <w:t>。</w:t>
      </w:r>
      <w:r>
        <w:rPr>
          <w:color w:val="231F20"/>
          <w:spacing w:val="-7"/>
        </w:rPr>
        <w:t>“两新”指推动新一轮大规模设备</w:t>
      </w:r>
      <w:r>
        <w:rPr>
          <w:color w:val="231F20"/>
          <w:spacing w:val="-16"/>
        </w:rPr>
        <w:t>更新和消费品以旧换新，旨在通过政策措施支持重点领域的更新</w:t>
      </w:r>
      <w:r>
        <w:rPr>
          <w:color w:val="231F20"/>
          <w:spacing w:val="-26"/>
        </w:rPr>
        <w:t>换新，以提振消费和扩大内需，加快现代化产业体系建设，促进先进制造业和现代服务业的融合发展。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396" w:lineRule="exact" w:before="0" w:after="0"/>
        <w:ind w:left="1412" w:right="0" w:hanging="49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11"/>
          <w:sz w:val="32"/>
        </w:rPr>
        <w:t>超长期特别国债：</w:t>
      </w:r>
      <w:r>
        <w:rPr>
          <w:color w:val="231F20"/>
          <w:spacing w:val="15"/>
          <w:sz w:val="32"/>
        </w:rPr>
        <w:t>是指期限超过</w:t>
      </w:r>
      <w:r>
        <w:rPr>
          <w:rFonts w:ascii="Times New Roman" w:eastAsia="Times New Roman"/>
          <w:color w:val="231F20"/>
          <w:sz w:val="32"/>
        </w:rPr>
        <w:t>10</w:t>
      </w:r>
      <w:r>
        <w:rPr>
          <w:rFonts w:ascii="Times New Roman" w:eastAsia="Times New Roman"/>
          <w:color w:val="231F20"/>
          <w:spacing w:val="-31"/>
          <w:sz w:val="32"/>
        </w:rPr>
        <w:t> </w:t>
      </w:r>
      <w:r>
        <w:rPr>
          <w:color w:val="231F20"/>
          <w:spacing w:val="-7"/>
          <w:sz w:val="32"/>
        </w:rPr>
        <w:t>年的国债，通常为</w:t>
      </w:r>
      <w:r>
        <w:rPr>
          <w:rFonts w:ascii="Times New Roman" w:eastAsia="Times New Roman"/>
          <w:color w:val="231F20"/>
          <w:sz w:val="32"/>
        </w:rPr>
        <w:t>15</w:t>
      </w:r>
    </w:p>
    <w:p>
      <w:pPr>
        <w:pStyle w:val="BodyText"/>
        <w:spacing w:line="300" w:lineRule="auto" w:before="100"/>
        <w:ind w:left="270" w:right="268"/>
        <w:jc w:val="both"/>
      </w:pPr>
      <w:r>
        <w:rPr>
          <w:color w:val="231F20"/>
          <w:spacing w:val="-74"/>
        </w:rPr>
        <w:t>年、</w:t>
      </w:r>
      <w:r>
        <w:rPr>
          <w:rFonts w:ascii="Times New Roman" w:eastAsia="Times New Roman"/>
          <w:color w:val="231F20"/>
        </w:rPr>
        <w:t>20</w:t>
      </w:r>
      <w:r>
        <w:rPr>
          <w:rFonts w:ascii="Times New Roman" w:eastAsia="Times New Roman"/>
          <w:color w:val="231F20"/>
          <w:spacing w:val="-33"/>
        </w:rPr>
        <w:t> </w:t>
      </w:r>
      <w:r>
        <w:rPr>
          <w:color w:val="231F20"/>
          <w:spacing w:val="-73"/>
        </w:rPr>
        <w:t>年、</w:t>
      </w:r>
      <w:r>
        <w:rPr>
          <w:rFonts w:ascii="Times New Roman" w:eastAsia="Times New Roman"/>
          <w:color w:val="231F20"/>
        </w:rPr>
        <w:t>30</w:t>
      </w:r>
      <w:r>
        <w:rPr>
          <w:rFonts w:ascii="Times New Roman" w:eastAsia="Times New Roman"/>
          <w:color w:val="231F20"/>
          <w:spacing w:val="-33"/>
        </w:rPr>
        <w:t> </w:t>
      </w:r>
      <w:r>
        <w:rPr>
          <w:color w:val="231F20"/>
          <w:spacing w:val="20"/>
        </w:rPr>
        <w:t>年甚至</w:t>
      </w:r>
      <w:r>
        <w:rPr>
          <w:rFonts w:ascii="Times New Roman" w:eastAsia="Times New Roman"/>
          <w:color w:val="231F20"/>
        </w:rPr>
        <w:t>50</w:t>
      </w:r>
      <w:r>
        <w:rPr>
          <w:rFonts w:ascii="Times New Roman" w:eastAsia="Times New Roman"/>
          <w:color w:val="231F20"/>
          <w:spacing w:val="-33"/>
        </w:rPr>
        <w:t> </w:t>
      </w:r>
      <w:r>
        <w:rPr>
          <w:color w:val="231F20"/>
          <w:spacing w:val="-6"/>
        </w:rPr>
        <w:t>年。这类国债由政府发行，用于筹集长期</w:t>
      </w:r>
      <w:r>
        <w:rPr>
          <w:color w:val="231F20"/>
          <w:spacing w:val="-14"/>
        </w:rPr>
        <w:t>资金，支持特定项目或应对重大经济挑战。超长期特别国债在我</w:t>
      </w:r>
      <w:r>
        <w:rPr>
          <w:color w:val="231F20"/>
          <w:spacing w:val="-3"/>
        </w:rPr>
        <w:t>国已有多次发行历史。例如，</w:t>
      </w:r>
      <w:r>
        <w:rPr>
          <w:rFonts w:ascii="Times New Roman" w:eastAsia="Times New Roman"/>
          <w:color w:val="231F20"/>
        </w:rPr>
        <w:t>2020</w:t>
      </w:r>
      <w:r>
        <w:rPr>
          <w:rFonts w:ascii="Times New Roman" w:eastAsia="Times New Roman"/>
          <w:color w:val="231F20"/>
          <w:spacing w:val="-27"/>
        </w:rPr>
        <w:t> </w:t>
      </w:r>
      <w:r>
        <w:rPr>
          <w:color w:val="231F20"/>
          <w:spacing w:val="10"/>
        </w:rPr>
        <w:t>年发行抗疫特别国债以应对</w:t>
      </w:r>
      <w:r>
        <w:rPr>
          <w:color w:val="231F20"/>
          <w:spacing w:val="-8"/>
        </w:rPr>
        <w:t>新冠疫情的冲击；</w:t>
      </w:r>
      <w:r>
        <w:rPr>
          <w:rFonts w:ascii="Times New Roman" w:eastAsia="Times New Roman"/>
          <w:color w:val="231F20"/>
        </w:rPr>
        <w:t>2024</w:t>
      </w:r>
      <w:r>
        <w:rPr>
          <w:rFonts w:ascii="Times New Roman" w:eastAsia="Times New Roman"/>
          <w:color w:val="231F20"/>
          <w:spacing w:val="-28"/>
        </w:rPr>
        <w:t> </w:t>
      </w:r>
      <w:r>
        <w:rPr>
          <w:color w:val="231F20"/>
          <w:spacing w:val="11"/>
        </w:rPr>
        <w:t>年以来我国再次大规模发行超长期特别</w:t>
      </w:r>
      <w:r>
        <w:rPr>
          <w:color w:val="231F20"/>
          <w:spacing w:val="3"/>
        </w:rPr>
        <w:t>国债。</w:t>
      </w:r>
    </w:p>
    <w:p>
      <w:pPr>
        <w:pStyle w:val="ListParagraph"/>
        <w:numPr>
          <w:ilvl w:val="0"/>
          <w:numId w:val="1"/>
        </w:numPr>
        <w:tabs>
          <w:tab w:pos="1393" w:val="left" w:leader="none"/>
        </w:tabs>
        <w:spacing w:line="300" w:lineRule="auto" w:before="0" w:after="0"/>
        <w:ind w:left="270" w:right="268" w:firstLine="65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23"/>
          <w:sz w:val="32"/>
        </w:rPr>
        <w:t>预算绩效管理：</w:t>
      </w:r>
      <w:r>
        <w:rPr>
          <w:color w:val="231F20"/>
          <w:spacing w:val="-11"/>
          <w:sz w:val="32"/>
        </w:rPr>
        <w:t>是政府绩效管理的重要组成部分，是以预</w:t>
      </w:r>
      <w:r>
        <w:rPr>
          <w:color w:val="231F20"/>
          <w:spacing w:val="-18"/>
          <w:sz w:val="32"/>
        </w:rPr>
        <w:t>算为对象开展的绩效管理，将绩效管理理念和绩效管理方法贯穿</w:t>
      </w:r>
      <w:r>
        <w:rPr>
          <w:color w:val="231F20"/>
          <w:spacing w:val="-26"/>
          <w:sz w:val="32"/>
        </w:rPr>
        <w:t>于预算编制、执行、监督的全过程，并实现与预算管理有机融合的</w:t>
      </w:r>
    </w:p>
    <w:p>
      <w:pPr>
        <w:spacing w:after="0" w:line="300" w:lineRule="auto"/>
        <w:jc w:val="both"/>
        <w:rPr>
          <w:rFonts w:ascii="Times New Roman" w:eastAsia="Times New Roman"/>
          <w:sz w:val="32"/>
        </w:rPr>
        <w:sectPr>
          <w:pgSz w:w="11910" w:h="16840"/>
          <w:pgMar w:header="0" w:footer="1341" w:top="1580" w:bottom="1540" w:left="1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line="300" w:lineRule="auto" w:before="223"/>
        <w:ind w:left="271" w:right="267"/>
        <w:jc w:val="both"/>
      </w:pPr>
      <w:r>
        <w:rPr>
          <w:color w:val="231F20"/>
          <w:spacing w:val="-13"/>
        </w:rPr>
        <w:t>一种管理模式，是深化公共财政管理改革、提高财政资金使用绩</w:t>
      </w:r>
      <w:r>
        <w:rPr>
          <w:color w:val="231F20"/>
          <w:spacing w:val="-14"/>
        </w:rPr>
        <w:t>效的创新手段，也是从根本上提高部门责任意识、促进政府职能转变的重要举措。</w:t>
      </w:r>
    </w:p>
    <w:p>
      <w:pPr>
        <w:pStyle w:val="ListParagraph"/>
        <w:numPr>
          <w:ilvl w:val="0"/>
          <w:numId w:val="1"/>
        </w:numPr>
        <w:tabs>
          <w:tab w:pos="1412" w:val="left" w:leader="none"/>
        </w:tabs>
        <w:spacing w:line="300" w:lineRule="auto" w:before="0" w:after="0"/>
        <w:ind w:left="271" w:right="267" w:firstLine="651"/>
        <w:jc w:val="both"/>
        <w:rPr>
          <w:rFonts w:ascii="Times New Roman" w:eastAsia="Times New Roman"/>
          <w:color w:val="231F20"/>
          <w:sz w:val="32"/>
        </w:rPr>
      </w:pPr>
      <w:r>
        <w:rPr>
          <w:rFonts w:ascii="楷体_GB2312" w:eastAsia="楷体_GB2312" w:hint="eastAsia"/>
          <w:color w:val="231F20"/>
          <w:spacing w:val="-12"/>
          <w:sz w:val="32"/>
        </w:rPr>
        <w:t>预算管理一体化：</w:t>
      </w:r>
      <w:r>
        <w:rPr>
          <w:color w:val="231F20"/>
          <w:spacing w:val="6"/>
          <w:sz w:val="32"/>
        </w:rPr>
        <w:t>财政部组织制定全国统一的预算管理</w:t>
      </w:r>
      <w:r>
        <w:rPr>
          <w:color w:val="231F20"/>
          <w:spacing w:val="-23"/>
          <w:sz w:val="32"/>
        </w:rPr>
        <w:t>业务规范和技术标准，将预算编制、预算执行、决算和财务报告等</w:t>
      </w:r>
      <w:r>
        <w:rPr>
          <w:color w:val="231F20"/>
          <w:spacing w:val="-24"/>
          <w:sz w:val="32"/>
        </w:rPr>
        <w:t>业务环节按一个整体进行整合规范，贯通各级财政预算管理。各</w:t>
      </w:r>
      <w:r>
        <w:rPr>
          <w:color w:val="231F20"/>
          <w:spacing w:val="6"/>
          <w:sz w:val="32"/>
        </w:rPr>
        <w:t>地由省级财政部门统一按照业务规范和技术标准建设一体化系</w:t>
      </w:r>
      <w:r>
        <w:rPr>
          <w:color w:val="231F20"/>
          <w:spacing w:val="-25"/>
          <w:sz w:val="32"/>
        </w:rPr>
        <w:t>统，将市县级预算数据集中到省级财政，并与财政部联网对接，实</w:t>
      </w:r>
      <w:r>
        <w:rPr>
          <w:color w:val="231F20"/>
          <w:spacing w:val="-13"/>
          <w:sz w:val="32"/>
        </w:rPr>
        <w:t>现关联业务间、上下级财政间、财政与部门和单位间的工作协同</w:t>
      </w:r>
      <w:r>
        <w:rPr>
          <w:color w:val="231F20"/>
          <w:spacing w:val="-14"/>
          <w:sz w:val="32"/>
        </w:rPr>
        <w:t>和数据衔接，动态反映各级财政部门预算管理情况，并通过嵌入系统的控制规则规范预算管理和硬化预算约束。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0"/>
        </w:rPr>
      </w:pPr>
      <w:r>
        <w:rPr/>
        <w:pict>
          <v:shape style="position:absolute;margin-left:76.5354pt;margin-top:8.966900pt;width:442.15pt;height:.1pt;mso-position-horizontal-relative:page;mso-position-vertical-relative:paragraph;z-index:-251658240;mso-wrap-distance-left:0;mso-wrap-distance-right:0" coordorigin="1531,179" coordsize="8843,0" path="m1531,179l10373,179e" filled="false" stroked="true" strokeweight=".5669pt" strokecolor="#231f20">
            <v:path arrowok="t"/>
            <v:stroke dashstyle="solid"/>
            <w10:wrap type="topAndBottom"/>
          </v:shape>
        </w:pict>
      </w:r>
    </w:p>
    <w:p>
      <w:pPr>
        <w:tabs>
          <w:tab w:pos="6354" w:val="left" w:leader="none"/>
        </w:tabs>
        <w:spacing w:before="2" w:after="38"/>
        <w:ind w:left="0" w:right="405" w:firstLine="0"/>
        <w:jc w:val="right"/>
        <w:rPr>
          <w:rFonts w:ascii="方正楷体_GBK" w:eastAsia="方正楷体_GBK" w:hint="eastAsia"/>
          <w:sz w:val="31"/>
        </w:rPr>
      </w:pPr>
      <w:r>
        <w:rPr>
          <w:rFonts w:ascii="方正楷体_GBK" w:eastAsia="方正楷体_GBK" w:hint="eastAsia"/>
          <w:color w:val="231F20"/>
          <w:sz w:val="31"/>
        </w:rPr>
        <w:t>大会秘书处</w:t>
        <w:tab/>
      </w:r>
      <w:r>
        <w:rPr>
          <w:rFonts w:ascii="NEU-B3" w:eastAsia="NEU-B3"/>
          <w:color w:val="231F20"/>
          <w:sz w:val="31"/>
        </w:rPr>
        <w:t>2025</w:t>
      </w:r>
      <w:r>
        <w:rPr>
          <w:rFonts w:ascii="NEU-B3" w:eastAsia="NEU-B3"/>
          <w:color w:val="231F20"/>
          <w:spacing w:val="-39"/>
          <w:sz w:val="31"/>
        </w:rPr>
        <w:t> </w:t>
      </w:r>
      <w:r>
        <w:rPr>
          <w:rFonts w:ascii="方正楷体_GBK" w:eastAsia="方正楷体_GBK" w:hint="eastAsia"/>
          <w:color w:val="231F20"/>
          <w:spacing w:val="39"/>
          <w:sz w:val="31"/>
        </w:rPr>
        <w:t>年</w:t>
      </w:r>
      <w:r>
        <w:rPr>
          <w:rFonts w:ascii="NEU-B3" w:eastAsia="NEU-B3"/>
          <w:color w:val="231F20"/>
          <w:sz w:val="31"/>
        </w:rPr>
        <w:t>2</w:t>
      </w:r>
      <w:r>
        <w:rPr>
          <w:rFonts w:ascii="NEU-B3" w:eastAsia="NEU-B3"/>
          <w:color w:val="231F20"/>
          <w:spacing w:val="-39"/>
          <w:sz w:val="31"/>
        </w:rPr>
        <w:t> </w:t>
      </w:r>
      <w:r>
        <w:rPr>
          <w:rFonts w:ascii="方正楷体_GBK" w:eastAsia="方正楷体_GBK" w:hint="eastAsia"/>
          <w:color w:val="231F20"/>
          <w:spacing w:val="39"/>
          <w:sz w:val="31"/>
        </w:rPr>
        <w:t>月</w:t>
      </w:r>
      <w:r>
        <w:rPr>
          <w:rFonts w:ascii="NEU-B3" w:eastAsia="NEU-B3"/>
          <w:color w:val="231F20"/>
          <w:sz w:val="31"/>
        </w:rPr>
        <w:t>28</w:t>
      </w:r>
      <w:r>
        <w:rPr>
          <w:rFonts w:ascii="NEU-B3" w:eastAsia="NEU-B3"/>
          <w:color w:val="231F20"/>
          <w:spacing w:val="-39"/>
          <w:sz w:val="31"/>
        </w:rPr>
        <w:t> </w:t>
      </w:r>
      <w:r>
        <w:rPr>
          <w:rFonts w:ascii="方正楷体_GBK" w:eastAsia="方正楷体_GBK" w:hint="eastAsia"/>
          <w:color w:val="231F20"/>
          <w:sz w:val="31"/>
        </w:rPr>
        <w:t>日</w:t>
      </w:r>
    </w:p>
    <w:p>
      <w:pPr>
        <w:pStyle w:val="BodyText"/>
        <w:spacing w:line="20" w:lineRule="exact"/>
        <w:ind w:left="264"/>
        <w:rPr>
          <w:rFonts w:ascii="方正楷体_GBK"/>
          <w:sz w:val="2"/>
        </w:rPr>
      </w:pPr>
      <w:r>
        <w:rPr>
          <w:rFonts w:ascii="方正楷体_GBK"/>
          <w:sz w:val="2"/>
        </w:rPr>
        <w:pict>
          <v:group style="width:442.15pt;height:.6pt;mso-position-horizontal-relative:char;mso-position-vertical-relative:line" coordorigin="0,0" coordsize="8843,12">
            <v:line style="position:absolute" from="0,6" to="8842,6" stroked="true" strokeweight=".5669pt" strokecolor="#231f20">
              <v:stroke dashstyle="solid"/>
            </v:line>
          </v:group>
        </w:pict>
      </w:r>
      <w:r>
        <w:rPr>
          <w:rFonts w:ascii="方正楷体_GBK"/>
          <w:sz w:val="2"/>
        </w:rPr>
      </w:r>
    </w:p>
    <w:p>
      <w:pPr>
        <w:spacing w:before="87"/>
        <w:ind w:left="0" w:right="376" w:firstLine="0"/>
        <w:jc w:val="right"/>
        <w:rPr>
          <w:rFonts w:ascii="方正楷体_GBK" w:eastAsia="方正楷体_GBK" w:hint="eastAsia"/>
          <w:sz w:val="31"/>
        </w:rPr>
      </w:pPr>
      <w:r>
        <w:rPr>
          <w:rFonts w:ascii="方正楷体_GBK" w:eastAsia="方正楷体_GBK" w:hint="eastAsia"/>
          <w:color w:val="231F20"/>
          <w:spacing w:val="-48"/>
          <w:sz w:val="31"/>
        </w:rPr>
        <w:t>（</w:t>
      </w:r>
      <w:r>
        <w:rPr>
          <w:rFonts w:ascii="方正楷体_GBK" w:eastAsia="方正楷体_GBK" w:hint="eastAsia"/>
          <w:color w:val="231F20"/>
          <w:spacing w:val="19"/>
          <w:sz w:val="31"/>
        </w:rPr>
        <w:t>共印</w:t>
      </w:r>
      <w:r>
        <w:rPr>
          <w:rFonts w:ascii="NEU-B3" w:eastAsia="NEU-B3"/>
          <w:color w:val="231F20"/>
          <w:sz w:val="31"/>
        </w:rPr>
        <w:t>750</w:t>
      </w:r>
      <w:r>
        <w:rPr>
          <w:rFonts w:ascii="NEU-B3" w:eastAsia="NEU-B3"/>
          <w:color w:val="231F20"/>
          <w:spacing w:val="-21"/>
          <w:sz w:val="31"/>
        </w:rPr>
        <w:t> </w:t>
      </w:r>
      <w:r>
        <w:rPr>
          <w:rFonts w:ascii="方正楷体_GBK" w:eastAsia="方正楷体_GBK" w:hint="eastAsia"/>
          <w:color w:val="231F20"/>
          <w:spacing w:val="-48"/>
          <w:sz w:val="31"/>
        </w:rPr>
        <w:t>份</w:t>
      </w:r>
      <w:r>
        <w:rPr>
          <w:rFonts w:ascii="方正楷体_GBK" w:eastAsia="方正楷体_GBK" w:hint="eastAsia"/>
          <w:color w:val="231F20"/>
          <w:sz w:val="31"/>
        </w:rPr>
        <w:t>）</w:t>
      </w:r>
    </w:p>
    <w:sectPr>
      <w:pgSz w:w="11910" w:h="16840"/>
      <w:pgMar w:header="0" w:footer="1341" w:top="1580" w:bottom="1540" w:left="1260" w:right="1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_GB2312">
    <w:altName w:val="仿宋_GB2312"/>
    <w:charset w:val="86"/>
    <w:family w:val="modern"/>
    <w:pitch w:val="fixed"/>
  </w:font>
  <w:font w:name="NEU-BZ">
    <w:altName w:val="NEU-BZ"/>
    <w:charset w:val="86"/>
    <w:family w:val="roman"/>
    <w:pitch w:val="variable"/>
  </w:font>
  <w:font w:name="黑体">
    <w:altName w:val="黑体"/>
    <w:charset w:val="86"/>
    <w:family w:val="modern"/>
    <w:pitch w:val="fixed"/>
  </w:font>
  <w:font w:name="方正黑体_GBK">
    <w:altName w:val="方正黑体_GBK"/>
    <w:charset w:val="86"/>
    <w:family w:val="auto"/>
    <w:pitch w:val="variable"/>
  </w:font>
  <w:font w:name="NEU-FZ">
    <w:altName w:val="NEU-FZ"/>
    <w:charset w:val="86"/>
    <w:family w:val="roman"/>
    <w:pitch w:val="variable"/>
  </w:font>
  <w:font w:name="楷体_GB2312">
    <w:altName w:val="楷体_GB2312"/>
    <w:charset w:val="86"/>
    <w:family w:val="modern"/>
    <w:pitch w:val="fixed"/>
  </w:font>
  <w:font w:name="方正大标宋_GBK">
    <w:altName w:val="方正大标宋_GBK"/>
    <w:charset w:val="86"/>
    <w:family w:val="script"/>
    <w:pitch w:val="fixed"/>
  </w:font>
  <w:font w:name="方正楷体_GBK">
    <w:altName w:val="方正楷体_GBK"/>
    <w:charset w:val="86"/>
    <w:family w:val="auto"/>
    <w:pitch w:val="variable"/>
  </w:font>
  <w:font w:name="NEU-B3">
    <w:altName w:val="NEU-B3"/>
    <w:charset w:val="86"/>
    <w:family w:val="roman"/>
    <w:pitch w:val="variable"/>
  </w:font>
  <w:font w:name="方正仿宋_GBK">
    <w:altName w:val="方正仿宋_GBK"/>
    <w:charset w:val="86"/>
    <w:family w:val="auto"/>
    <w:pitch w:val="variable"/>
  </w:font>
  <w:font w:name="方正小标宋_GBK">
    <w:altName w:val="方正小标宋_GBK"/>
    <w:charset w:val="86"/>
    <w:family w:val="script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8.825012pt;margin-top:763.861694pt;width:39.65pt;height:17.6pt;mso-position-horizontal-relative:page;mso-position-vertical-relative:page;z-index:-252001280" type="#_x0000_t202" filled="false" stroked="false">
          <v:textbox inset="0,0,0,0">
            <w:txbxContent>
              <w:p>
                <w:pPr>
                  <w:spacing w:line="351" w:lineRule="exact" w:before="0"/>
                  <w:ind w:left="20" w:right="0" w:firstLine="0"/>
                  <w:jc w:val="left"/>
                  <w:rPr>
                    <w:rFonts w:ascii="NEU-BZ"/>
                    <w:sz w:val="28"/>
                  </w:rPr>
                </w:pPr>
                <w:r>
                  <w:rPr>
                    <w:rFonts w:ascii="NEU-BZ"/>
                    <w:color w:val="231F20"/>
                    <w:sz w:val="28"/>
                  </w:rPr>
                  <w:t>18-</w:t>
                </w:r>
                <w:r>
                  <w:rPr/>
                  <w:fldChar w:fldCharType="begin"/>
                </w:r>
                <w:r>
                  <w:rPr>
                    <w:rFonts w:ascii="NEU-BZ"/>
                    <w:color w:val="231F20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70" w:hanging="322"/>
        <w:jc w:val="left"/>
      </w:pPr>
      <w:rPr>
        <w:rFonts w:hint="default"/>
        <w:b/>
        <w:bCs/>
        <w:w w:val="100"/>
      </w:rPr>
    </w:lvl>
    <w:lvl w:ilvl="1">
      <w:start w:val="0"/>
      <w:numFmt w:val="bullet"/>
      <w:lvlText w:val="•"/>
      <w:lvlJc w:val="left"/>
      <w:pPr>
        <w:ind w:left="1190" w:hanging="32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01" w:hanging="32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11" w:hanging="32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22" w:hanging="32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32" w:hanging="32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43" w:hanging="32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653" w:hanging="32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564" w:hanging="32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_GB2312" w:hAnsi="仿宋_GB2312" w:eastAsia="仿宋_GB2312" w:cs="仿宋_GB2312"/>
    </w:rPr>
  </w:style>
  <w:style w:styleId="BodyText" w:type="paragraph">
    <w:name w:val="Body Text"/>
    <w:basedOn w:val="Normal"/>
    <w:uiPriority w:val="1"/>
    <w:qFormat/>
    <w:pPr/>
    <w:rPr>
      <w:rFonts w:ascii="仿宋_GB2312" w:hAnsi="仿宋_GB2312" w:eastAsia="仿宋_GB2312" w:cs="仿宋_GB2312"/>
      <w:sz w:val="32"/>
      <w:szCs w:val="32"/>
    </w:rPr>
  </w:style>
  <w:style w:styleId="Heading1" w:type="paragraph">
    <w:name w:val="Heading 1"/>
    <w:basedOn w:val="Normal"/>
    <w:uiPriority w:val="1"/>
    <w:qFormat/>
    <w:pPr>
      <w:spacing w:line="667" w:lineRule="exact"/>
      <w:ind w:left="3"/>
      <w:outlineLvl w:val="1"/>
    </w:pPr>
    <w:rPr>
      <w:rFonts w:ascii="方正大标宋_GBK" w:hAnsi="方正大标宋_GBK" w:eastAsia="方正大标宋_GBK" w:cs="方正大标宋_GBK"/>
      <w:sz w:val="42"/>
      <w:szCs w:val="42"/>
    </w:rPr>
  </w:style>
  <w:style w:styleId="ListParagraph" w:type="paragraph">
    <w:name w:val="List Paragraph"/>
    <w:basedOn w:val="Normal"/>
    <w:uiPriority w:val="1"/>
    <w:qFormat/>
    <w:pPr>
      <w:ind w:left="270" w:right="268" w:firstLine="651"/>
      <w:jc w:val="both"/>
    </w:pPr>
    <w:rPr>
      <w:rFonts w:ascii="仿宋_GB2312" w:hAnsi="仿宋_GB2312" w:eastAsia="仿宋_GB2312" w:cs="仿宋_GB2312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 hh</dc:creator>
  <dc:subject>15号计划工作报告</dc:subject>
  <dc:title>财政局两会工作报告</dc:title>
  <dcterms:created xsi:type="dcterms:W3CDTF">2025-03-03T00:11:54Z</dcterms:created>
  <dcterms:modified xsi:type="dcterms:W3CDTF">2025-03-03T00:11:54Z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2025-02-26T00:00:00Z</vt:filetime>
  </property>
  <property fmtid="{D5CDD505-2E9C-101B-9397-08002B2CF9AE}" pid="3" name="Creator">
    <vt:lpwstr>方正飞翔6.0 专业版</vt:lpwstr>
  </property>
  <property fmtid="{D5CDD505-2E9C-101B-9397-08002B2CF9AE}" pid="4" name="LastSaved">
    <vt:filetime>2025-03-03T00:00:00Z</vt:filetime>
  </property>
</Properties>
</file>