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方正小标宋简体" w:cs="楷体"/>
          <w:b w:val="0"/>
          <w:bCs w:val="0"/>
          <w:i w:val="0"/>
          <w:caps w:val="0"/>
          <w:color w:val="auto"/>
          <w:spacing w:val="0"/>
          <w:sz w:val="44"/>
          <w:szCs w:val="32"/>
          <w:lang w:val="en-US" w:eastAsia="zh-CN"/>
        </w:rPr>
      </w:pPr>
      <w:bookmarkStart w:id="0" w:name="_GoBack"/>
      <w:r>
        <w:rPr>
          <w:rFonts w:hint="eastAsia" w:ascii="楷体" w:hAnsi="楷体" w:eastAsia="方正小标宋简体" w:cs="楷体"/>
          <w:b w:val="0"/>
          <w:bCs w:val="0"/>
          <w:i w:val="0"/>
          <w:caps w:val="0"/>
          <w:color w:val="auto"/>
          <w:spacing w:val="0"/>
          <w:sz w:val="44"/>
          <w:szCs w:val="32"/>
          <w:lang w:val="en-US" w:eastAsia="zh-CN"/>
        </w:rPr>
        <w:t>灵宝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32"/>
          <w:lang w:val="en-US" w:eastAsia="zh-CN"/>
        </w:rPr>
        <w:t>市人社局2024</w:t>
      </w:r>
      <w:r>
        <w:rPr>
          <w:rFonts w:hint="eastAsia" w:ascii="楷体" w:hAnsi="楷体" w:eastAsia="方正小标宋简体" w:cs="楷体"/>
          <w:b w:val="0"/>
          <w:bCs w:val="0"/>
          <w:i w:val="0"/>
          <w:caps w:val="0"/>
          <w:color w:val="auto"/>
          <w:spacing w:val="0"/>
          <w:sz w:val="44"/>
          <w:szCs w:val="32"/>
          <w:lang w:val="en-US" w:eastAsia="zh-CN"/>
        </w:rPr>
        <w:t>年法治政府建设工作</w:t>
      </w:r>
    </w:p>
    <w:p w14:paraId="6231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方正小标宋简体" w:cs="楷体"/>
          <w:b w:val="0"/>
          <w:bCs w:val="0"/>
          <w:i w:val="0"/>
          <w:caps w:val="0"/>
          <w:color w:val="auto"/>
          <w:spacing w:val="0"/>
          <w:sz w:val="44"/>
          <w:szCs w:val="32"/>
          <w:lang w:val="en-US" w:eastAsia="zh-CN"/>
        </w:rPr>
      </w:pPr>
      <w:r>
        <w:rPr>
          <w:rFonts w:hint="eastAsia" w:ascii="楷体" w:hAnsi="楷体" w:eastAsia="方正小标宋简体" w:cs="楷体"/>
          <w:b w:val="0"/>
          <w:bCs w:val="0"/>
          <w:i w:val="0"/>
          <w:caps w:val="0"/>
          <w:color w:val="auto"/>
          <w:spacing w:val="0"/>
          <w:sz w:val="44"/>
          <w:szCs w:val="32"/>
          <w:lang w:val="en-US" w:eastAsia="zh-CN"/>
        </w:rPr>
        <w:t>报告</w:t>
      </w:r>
    </w:p>
    <w:bookmarkEnd w:id="0"/>
    <w:p w14:paraId="233F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B98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（一）加强法治政府建设组织领导，强化法治思维。</w:t>
      </w:r>
    </w:p>
    <w:p w14:paraId="4932D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我局高度重视法治政府建设工作，主要负责人认真履行法治建设第一责任人职责，通过开展党组中心组研讨学习、全体党员大会等，督促领导干部学法用法工作制度化、规范化，不断提高领导干部科学决策、民主决策、依法决策和依法行政的能力和水平。主要领导定期听取法治建设工作情况汇报，指导推进法治人社工作，落实行政机关负责人出庭应诉工作，研究解决有关重大问题，及时化解矛盾纠纷案件。坚决贯彻落实县、市重要工作决策部署，积极发挥人社职能，进一步完善政策、优化服务，全力完成各项工作任务。</w:t>
      </w:r>
    </w:p>
    <w:p w14:paraId="52FEC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（二）加强法律法规学习，增强依法行政意识。</w:t>
      </w:r>
    </w:p>
    <w:p w14:paraId="4EEAE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来，我局注重思想引领，多举措开展学法活动。一是局党组带头学法。通过党组理论学习中心组等形式开展法律法规的学习，深入学习贯彻习近平法治思想、《中华人民共和国劳动法》、《中华人民共和国社会保险法》、《劳动保障监察条例》等法律法规，提升班子成员依法行政能力。二是加强本系统人员的学法普法。创新教育形式，组织开展“人社大讲堂”活动，采取班子成员带头领学、机关科室轮流讲等方式，先后组织学习12次，统筹学习人社部门法律法规的同时，重点开展《宪法》、《民法典》、《行政处罚法》等普法学习。三是加强执法队伍学法普法工作。通过定期开展专题培训班、组织执法人员进行线上培训等，对一线劳动保障监察执法人员进行全员轮训，全面提升法律素质和执法能力。着力打造一支“信念过硬、政治过硬、责任过硬、能力过硬、作风过硬”的劳动监察队伍。四是参加 2024年度全国人社窗口单位练兵比武知识竞赛。坚持“日日学、周周练、月月比”，学政策、钻业务、强技能、优服务的良好氛围蔚然成风，有力促进“我为群众办实事”实践活动走深走实。通过以学促干、比学赶超，全面提升经办队伍整体业务素质和服务能力。</w:t>
      </w:r>
    </w:p>
    <w:p w14:paraId="5033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（三）规范行政执法，主动化解矛盾纠纷。</w:t>
      </w:r>
    </w:p>
    <w:p w14:paraId="293F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坚持规范执法，依法维权，主动抓好化解、处置和预防劳资纠纷等重点工作，有力地维护社会和谐稳定。一是高度重视、灵活处理，积极化解不稳定因素。2024年，我局劳动关系仲裁科共收到信访件5件，全部按时办结；处理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12345热线421起，满意率90.69%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；劳动人事争议仲裁院共受理劳动人事争议案件167 件，调解 138件，涉案金额 500余万元，案件调解率为83%。二是长效治理、多措并举，确保根治欠薪落到实处。2024年，我局劳动监察科共受理国务院根治欠薪进行时线索806起，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已办结791件，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帮助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526名劳动者追回工资报酬413.56万元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举报投诉结案率达到98%。用人单位欠薪等问题及时得到处置，保障了我市劳动领域和谐稳定。三是及时化解、多元共治，实现“双下降”目标。梳理我局败诉案件，深入分析败诉原因，组织领导干部、执法人员进行法治能力培训，强化依法行政的执法理念，增强依法行政的效能，从源头上防止和减少行政争议。深入推进诉前化解、诉中化解、加强行政诉讼案件信息共享，强化沟通对接，切实降低行政诉讼发案量和败诉率。</w:t>
      </w:r>
    </w:p>
    <w:p w14:paraId="363E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（四）推动普法宣传，营造知法、懂法、守法氛围。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是全面落实“谁执法谁普法”责任制。为深入学习贯彻习近平法治思想，进一步推动“八五”普法工作全面开展，充分依托人民政府网站、美篇账号、服务窗口、日常巡查等多种途径，采取“线上+线下”的方式，结合人社系统法律法规宣传月活动、“宪法宣传周”等特殊时间节点，广泛开展《中华人民共和国宪法》、《中华人民共和国劳动法》、《中华人民共和国劳动合同法》、《中华人民共和国未成年人保护法》、《保障农民工工资支付条例》等与人力资源和社会保障、民生保障密切相关的法律法规宣传，全局60余名人社干部深入企业、社区、乡村送法律、送政策，累计发放宣传单1万余份，接受群众咨询约130人次，营造引导企业和职工自觉尊法学法守法用法的良好环境，加强外出务工人员自我保护能力。二是开展重点在建项目普法宣传活动。为切实保障辖区内在建重点项目农民工朋友合法权益，2024年人社局劳动监察科工作人员共进如意府、中航星城、棚户改造区等在建项目开展“六制一金一表”检查30余次，检查期间开展法律法规宣传活动10场次，现场与农民工朋友讲解宣传《中华人民共和国劳动合同法》、《保障农民工工资支付条例》等与农民工朋友息息相关的法律法规。三是就业与普法共行。2024年市人社局利用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春风行动、金秋招聘月、盘豆驿研学基地、“百日千万”招聘进校园等各类“线上+线下”招聘会39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场次，利用群众人口密度大、人流量大的特点，开展《中华人民共和国宪法》、人社相关法律法规宣传，切实提升人民群众法治意识。</w:t>
      </w:r>
    </w:p>
    <w:p w14:paraId="5BC6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32379"/>
    <w:rsid w:val="03332379"/>
    <w:rsid w:val="1B401437"/>
    <w:rsid w:val="475F1C0D"/>
    <w:rsid w:val="65672EDA"/>
    <w:rsid w:val="7A9750AD"/>
    <w:rsid w:val="7D6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2948</Words>
  <Characters>3069</Characters>
  <Lines>0</Lines>
  <Paragraphs>0</Paragraphs>
  <TotalTime>20</TotalTime>
  <ScaleCrop>false</ScaleCrop>
  <LinksUpToDate>false</LinksUpToDate>
  <CharactersWithSpaces>3076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2024-12-09T07:06:00Z</dcterms:created>
  <dc:creator>AL</dc:creator>
  <cp:lastModifiedBy></cp:lastModifiedBy>
  <dcterms:modified xsi:type="dcterms:W3CDTF">2026-01-06T14:24:21Z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A6474E6767024220AEC40394C7D940DB_13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