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FC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 w:firstLine="1656" w:firstLineChars="500"/>
        <w:rPr>
          <w:sz w:val="33"/>
          <w:szCs w:val="33"/>
        </w:rPr>
      </w:pPr>
      <w:r>
        <w:rPr>
          <w:sz w:val="33"/>
          <w:szCs w:val="33"/>
        </w:rPr>
        <w:t>2024年1-11月全市经济运行情况</w:t>
      </w:r>
      <w:bookmarkStart w:id="0" w:name="_GoBack"/>
      <w:bookmarkEnd w:id="0"/>
    </w:p>
    <w:p w14:paraId="44942D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00" w:firstLineChars="200"/>
        <w:jc w:val="both"/>
        <w:rPr>
          <w:color w:val="FEFEFE"/>
          <w:spacing w:val="30"/>
          <w:sz w:val="24"/>
          <w:szCs w:val="24"/>
        </w:rPr>
      </w:pPr>
      <w:r>
        <w:rPr>
          <w:spacing w:val="30"/>
          <w:sz w:val="24"/>
          <w:szCs w:val="24"/>
        </w:rPr>
        <w:t>11月份，在市委、市政府的坚强领导下，全市上下坚持稳中求进工作总基调，加力实施各项存量政策和增量政策，主要经济指标稳定增长，全市经济运行呈现稳中向好态势。</w:t>
      </w:r>
      <w:r>
        <w:rPr>
          <w:rStyle w:val="6"/>
          <w:color w:val="FEFEFE"/>
          <w:spacing w:val="30"/>
          <w:sz w:val="24"/>
          <w:szCs w:val="24"/>
        </w:rPr>
        <w:t>产增长较快</w:t>
      </w:r>
    </w:p>
    <w:p w14:paraId="2D9591E2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2" w:firstLineChars="200"/>
        <w:jc w:val="both"/>
        <w:rPr>
          <w:rFonts w:hint="eastAsia"/>
          <w:b/>
          <w:bCs/>
          <w:spacing w:val="30"/>
          <w:sz w:val="24"/>
          <w:szCs w:val="24"/>
        </w:rPr>
      </w:pPr>
      <w:r>
        <w:rPr>
          <w:rFonts w:hint="eastAsia"/>
          <w:b/>
          <w:bCs/>
          <w:spacing w:val="30"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pacing w:val="30"/>
          <w:sz w:val="24"/>
          <w:szCs w:val="24"/>
        </w:rPr>
        <w:t>工业生产增长较快</w:t>
      </w:r>
    </w:p>
    <w:p w14:paraId="08832C2F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  <w:rPr>
          <w:rFonts w:hint="eastAsia"/>
          <w:b w:val="0"/>
          <w:bCs w:val="0"/>
          <w:spacing w:val="30"/>
          <w:sz w:val="24"/>
          <w:szCs w:val="24"/>
        </w:rPr>
      </w:pPr>
      <w:r>
        <w:rPr>
          <w:rFonts w:hint="eastAsia"/>
          <w:b w:val="0"/>
          <w:bCs w:val="0"/>
          <w:spacing w:val="30"/>
          <w:sz w:val="24"/>
          <w:szCs w:val="24"/>
        </w:rPr>
        <w:t>11月份，全市规模以上工业增加值同比增长9.1%，低于三门峡市0.5个百分点。</w:t>
      </w:r>
    </w:p>
    <w:p w14:paraId="4EB31800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  <w:rPr>
          <w:rFonts w:hint="eastAsia"/>
          <w:b w:val="0"/>
          <w:bCs w:val="0"/>
          <w:spacing w:val="30"/>
          <w:sz w:val="24"/>
          <w:szCs w:val="24"/>
        </w:rPr>
      </w:pPr>
      <w:r>
        <w:rPr>
          <w:rFonts w:hint="eastAsia"/>
          <w:b w:val="0"/>
          <w:bCs w:val="0"/>
          <w:spacing w:val="30"/>
          <w:sz w:val="24"/>
          <w:szCs w:val="24"/>
        </w:rPr>
        <w:t xml:space="preserve">1-11月，全市规模以上工业增加值同比增长10.6%，高于三门峡市1.4个百分点。位居全市第一。从三大门类看，采矿业增加值同比增长35.8%，制造业增长3.4%，电力、热力、燃气及水生产和供应业下降4.0%。超六成行业实现增长。1-11月，全市工业24个行业大类中，15个行业增加值同比实现增长，增长面达62.5%。其中，黑色金属矿采选业、有色金属矿采选业、非金属矿采选业、农副食品加工业、食品制造业、医药制造业、有色金属冶炼和压延加工业、金属制品业增加值分别增长63.0%、36.6%、16.0%、10.3%、17.6%、16.9%、2.8%、6.5%。产业升级持续推进。1-11月，全市高新技术产业、战略性新兴产业、高技术产业、高成长性制造业工业增加值分别增长15.1%、6.0%、17.0%、5.1%。部分产品产量较快增长。1-11月，全市磷矿石产量增长20.9%，罐头增长28.9%、硫酸增长18.4%、商品混凝土增长9.4%、砖增长11.9%、铅增长144.5%、锌增长132.2%，铜材增长18.2%。 </w:t>
      </w:r>
    </w:p>
    <w:p w14:paraId="266218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02" w:firstLineChars="200"/>
        <w:jc w:val="both"/>
        <w:rPr>
          <w:rFonts w:hint="eastAsia"/>
          <w:b/>
          <w:bCs/>
          <w:spacing w:val="30"/>
          <w:sz w:val="24"/>
          <w:szCs w:val="24"/>
        </w:rPr>
      </w:pPr>
      <w:r>
        <w:rPr>
          <w:rFonts w:hint="eastAsia"/>
          <w:b/>
          <w:bCs/>
          <w:spacing w:val="30"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pacing w:val="30"/>
          <w:sz w:val="24"/>
          <w:szCs w:val="24"/>
        </w:rPr>
        <w:t>固定资产投资规模稳步扩大</w:t>
      </w:r>
    </w:p>
    <w:p w14:paraId="6B48C1E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</w:pPr>
      <w:r>
        <w:rPr>
          <w:rFonts w:hint="eastAsia"/>
          <w:spacing w:val="30"/>
          <w:sz w:val="24"/>
          <w:szCs w:val="24"/>
        </w:rPr>
        <w:t>1-11月，全市固定资产投资同比增长8.7%，高于三门峡全市1.4个百分点;其中项目投资增长6.7%。分产业看，第一产业投资下降17.1%，第二产业投资增长15.1%，第三产业投资增长3.7%。分领域看，工业投资同比增长10.7%，其中制造业投资增长1.8%;基础设施投资增长45.3%，其中水利、环境和公共设施管理业投资增长42.1%;民间投资下降6.8%;房地产开发投资下降34%。</w:t>
      </w:r>
    </w:p>
    <w:p w14:paraId="7F46AD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2" w:firstLineChars="200"/>
        <w:jc w:val="both"/>
        <w:rPr>
          <w:rFonts w:hint="eastAsia"/>
          <w:b/>
          <w:bCs/>
          <w:spacing w:val="30"/>
          <w:sz w:val="24"/>
          <w:szCs w:val="24"/>
        </w:rPr>
      </w:pPr>
      <w:r>
        <w:rPr>
          <w:rFonts w:hint="eastAsia"/>
          <w:b/>
          <w:bCs/>
          <w:spacing w:val="30"/>
          <w:sz w:val="24"/>
          <w:szCs w:val="24"/>
          <w:lang w:val="en-US" w:eastAsia="zh-CN"/>
        </w:rPr>
        <w:t>三、</w:t>
      </w:r>
      <w:r>
        <w:rPr>
          <w:rFonts w:hint="eastAsia"/>
          <w:b/>
          <w:bCs/>
          <w:spacing w:val="30"/>
          <w:sz w:val="24"/>
          <w:szCs w:val="24"/>
        </w:rPr>
        <w:t>消费品市场平稳增长</w:t>
      </w:r>
    </w:p>
    <w:p w14:paraId="4DC5102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  <w:rPr>
          <w:spacing w:val="30"/>
          <w:sz w:val="21"/>
          <w:szCs w:val="21"/>
        </w:rPr>
      </w:pPr>
      <w:r>
        <w:rPr>
          <w:spacing w:val="30"/>
          <w:sz w:val="24"/>
          <w:szCs w:val="24"/>
        </w:rPr>
        <w:t>11月份，全市社会消费品零售额</w:t>
      </w:r>
      <w:r>
        <w:rPr>
          <w:rFonts w:hint="eastAsia"/>
          <w:spacing w:val="30"/>
          <w:sz w:val="24"/>
          <w:szCs w:val="24"/>
          <w:lang w:val="en-US" w:eastAsia="zh-CN"/>
        </w:rPr>
        <w:t>205084万</w:t>
      </w:r>
      <w:r>
        <w:rPr>
          <w:spacing w:val="30"/>
          <w:sz w:val="24"/>
          <w:szCs w:val="24"/>
        </w:rPr>
        <w:t>元，同比增长</w:t>
      </w:r>
      <w:r>
        <w:rPr>
          <w:rFonts w:hint="eastAsia"/>
          <w:spacing w:val="30"/>
          <w:sz w:val="24"/>
          <w:szCs w:val="24"/>
          <w:lang w:val="en-US" w:eastAsia="zh-CN"/>
        </w:rPr>
        <w:t>7.9</w:t>
      </w:r>
      <w:r>
        <w:rPr>
          <w:spacing w:val="30"/>
          <w:sz w:val="24"/>
          <w:szCs w:val="24"/>
        </w:rPr>
        <w:t>%。其中，限额以上单位消费品零售额增长</w:t>
      </w:r>
      <w:r>
        <w:rPr>
          <w:rFonts w:hint="eastAsia"/>
          <w:spacing w:val="30"/>
          <w:sz w:val="24"/>
          <w:szCs w:val="24"/>
          <w:lang w:val="en-US" w:eastAsia="zh-CN"/>
        </w:rPr>
        <w:t>14.6</w:t>
      </w:r>
      <w:r>
        <w:rPr>
          <w:spacing w:val="30"/>
          <w:sz w:val="24"/>
          <w:szCs w:val="24"/>
        </w:rPr>
        <w:t>%。</w:t>
      </w:r>
    </w:p>
    <w:p w14:paraId="2FE33AD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  <w:rPr>
          <w:rFonts w:hint="eastAsia"/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t>1-11月，全市社会消费品零售总额</w:t>
      </w:r>
      <w:r>
        <w:rPr>
          <w:rFonts w:hint="eastAsia"/>
          <w:spacing w:val="30"/>
          <w:sz w:val="24"/>
          <w:szCs w:val="24"/>
          <w:lang w:val="en-US" w:eastAsia="zh-CN"/>
        </w:rPr>
        <w:t>1883563万</w:t>
      </w:r>
      <w:r>
        <w:rPr>
          <w:rFonts w:hint="eastAsia"/>
          <w:spacing w:val="30"/>
          <w:sz w:val="24"/>
          <w:szCs w:val="24"/>
        </w:rPr>
        <w:t>元，同比增长</w:t>
      </w:r>
      <w:r>
        <w:rPr>
          <w:rFonts w:hint="eastAsia"/>
          <w:spacing w:val="30"/>
          <w:sz w:val="24"/>
          <w:szCs w:val="24"/>
          <w:lang w:val="en-US" w:eastAsia="zh-CN"/>
        </w:rPr>
        <w:t>6.4</w:t>
      </w:r>
      <w:r>
        <w:rPr>
          <w:rFonts w:hint="eastAsia"/>
          <w:spacing w:val="30"/>
          <w:sz w:val="24"/>
          <w:szCs w:val="24"/>
        </w:rPr>
        <w:t>%。其中，限额以上单位消费品零售额增长</w:t>
      </w:r>
      <w:r>
        <w:rPr>
          <w:rFonts w:hint="eastAsia"/>
          <w:spacing w:val="30"/>
          <w:sz w:val="24"/>
          <w:szCs w:val="24"/>
          <w:lang w:val="en-US" w:eastAsia="zh-CN"/>
        </w:rPr>
        <w:t>13.2</w:t>
      </w:r>
      <w:r>
        <w:rPr>
          <w:rFonts w:hint="eastAsia"/>
          <w:spacing w:val="30"/>
          <w:sz w:val="24"/>
          <w:szCs w:val="24"/>
        </w:rPr>
        <w:t>%，高于全</w:t>
      </w:r>
      <w:r>
        <w:rPr>
          <w:rFonts w:hint="eastAsia"/>
          <w:spacing w:val="30"/>
          <w:sz w:val="24"/>
          <w:szCs w:val="24"/>
          <w:lang w:val="en-US" w:eastAsia="zh-CN"/>
        </w:rPr>
        <w:t>市0.3</w:t>
      </w:r>
      <w:r>
        <w:rPr>
          <w:rFonts w:hint="eastAsia"/>
          <w:spacing w:val="30"/>
          <w:sz w:val="24"/>
          <w:szCs w:val="24"/>
        </w:rPr>
        <w:t>个百分点。基本生活类零售稳定增长。限额以上饮料类、烟酒类、粮油食品类等基本生活商品零售额分别增长</w:t>
      </w:r>
      <w:r>
        <w:rPr>
          <w:rFonts w:hint="eastAsia"/>
          <w:spacing w:val="30"/>
          <w:sz w:val="24"/>
          <w:szCs w:val="24"/>
          <w:lang w:val="en-US" w:eastAsia="zh-CN"/>
        </w:rPr>
        <w:t>27.0</w:t>
      </w:r>
      <w:r>
        <w:rPr>
          <w:rFonts w:hint="eastAsia"/>
          <w:spacing w:val="30"/>
          <w:sz w:val="24"/>
          <w:szCs w:val="24"/>
        </w:rPr>
        <w:t>%、</w:t>
      </w:r>
      <w:r>
        <w:rPr>
          <w:rFonts w:hint="eastAsia"/>
          <w:spacing w:val="30"/>
          <w:sz w:val="24"/>
          <w:szCs w:val="24"/>
          <w:lang w:val="en-US" w:eastAsia="zh-CN"/>
        </w:rPr>
        <w:t>29.5</w:t>
      </w:r>
      <w:r>
        <w:rPr>
          <w:rFonts w:hint="eastAsia"/>
          <w:spacing w:val="30"/>
          <w:sz w:val="24"/>
          <w:szCs w:val="24"/>
        </w:rPr>
        <w:t>%、</w:t>
      </w:r>
      <w:r>
        <w:rPr>
          <w:rFonts w:hint="eastAsia"/>
          <w:spacing w:val="30"/>
          <w:sz w:val="24"/>
          <w:szCs w:val="24"/>
          <w:lang w:val="en-US" w:eastAsia="zh-CN"/>
        </w:rPr>
        <w:t>32.3</w:t>
      </w:r>
      <w:r>
        <w:rPr>
          <w:rFonts w:hint="eastAsia"/>
          <w:spacing w:val="30"/>
          <w:sz w:val="24"/>
          <w:szCs w:val="24"/>
        </w:rPr>
        <w:t>%。部分升级类商品销售良好。限额以上文化办公用品类、金银珠宝类零售额分别增长</w:t>
      </w:r>
      <w:r>
        <w:rPr>
          <w:rFonts w:hint="eastAsia"/>
          <w:spacing w:val="30"/>
          <w:sz w:val="24"/>
          <w:szCs w:val="24"/>
          <w:lang w:val="en-US" w:eastAsia="zh-CN"/>
        </w:rPr>
        <w:t>11.8</w:t>
      </w:r>
      <w:r>
        <w:rPr>
          <w:rFonts w:hint="eastAsia"/>
          <w:spacing w:val="30"/>
          <w:sz w:val="24"/>
          <w:szCs w:val="24"/>
        </w:rPr>
        <w:t>%、</w:t>
      </w:r>
      <w:r>
        <w:rPr>
          <w:rFonts w:hint="eastAsia"/>
          <w:spacing w:val="30"/>
          <w:sz w:val="24"/>
          <w:szCs w:val="24"/>
          <w:lang w:val="en-US" w:eastAsia="zh-CN"/>
        </w:rPr>
        <w:t>41.2</w:t>
      </w:r>
      <w:r>
        <w:rPr>
          <w:rFonts w:hint="eastAsia"/>
          <w:spacing w:val="30"/>
          <w:sz w:val="24"/>
          <w:szCs w:val="24"/>
        </w:rPr>
        <w:t>%。消费品以旧换新政策效应进一步显现。限额以上家用电器和音像器材类商品零售额同比增长</w:t>
      </w:r>
      <w:r>
        <w:rPr>
          <w:rFonts w:hint="eastAsia"/>
          <w:spacing w:val="30"/>
          <w:sz w:val="24"/>
          <w:szCs w:val="24"/>
          <w:lang w:val="en-US" w:eastAsia="zh-CN"/>
        </w:rPr>
        <w:t>27.1</w:t>
      </w:r>
      <w:r>
        <w:rPr>
          <w:rFonts w:hint="eastAsia"/>
          <w:spacing w:val="30"/>
          <w:sz w:val="24"/>
          <w:szCs w:val="24"/>
        </w:rPr>
        <w:t>%，其中能效等级为1级和2级、智能家用电器和音像器材类分别同比增长</w:t>
      </w:r>
      <w:r>
        <w:rPr>
          <w:rFonts w:hint="eastAsia"/>
          <w:spacing w:val="30"/>
          <w:sz w:val="24"/>
          <w:szCs w:val="24"/>
          <w:lang w:val="en-US" w:eastAsia="zh-CN"/>
        </w:rPr>
        <w:t>41.6</w:t>
      </w:r>
      <w:r>
        <w:rPr>
          <w:rFonts w:hint="eastAsia"/>
          <w:spacing w:val="30"/>
          <w:sz w:val="24"/>
          <w:szCs w:val="24"/>
        </w:rPr>
        <w:t>%和</w:t>
      </w:r>
      <w:r>
        <w:rPr>
          <w:rFonts w:hint="eastAsia"/>
          <w:spacing w:val="30"/>
          <w:sz w:val="24"/>
          <w:szCs w:val="24"/>
          <w:lang w:val="en-US" w:eastAsia="zh-CN"/>
        </w:rPr>
        <w:t>27.7</w:t>
      </w:r>
      <w:r>
        <w:rPr>
          <w:rFonts w:hint="eastAsia"/>
          <w:spacing w:val="30"/>
          <w:sz w:val="24"/>
          <w:szCs w:val="24"/>
        </w:rPr>
        <w:t>%。</w:t>
      </w:r>
    </w:p>
    <w:p w14:paraId="2C214D8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  <w:rPr>
          <w:rFonts w:hint="eastAsia"/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drawing>
          <wp:inline distT="0" distB="0" distL="114300" distR="114300">
            <wp:extent cx="1619250" cy="1581150"/>
            <wp:effectExtent l="0" t="0" r="0" b="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C5485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  <w:rPr>
          <w:rFonts w:hint="eastAsia"/>
          <w:spacing w:val="30"/>
          <w:sz w:val="24"/>
          <w:szCs w:val="24"/>
        </w:rPr>
      </w:pPr>
    </w:p>
    <w:p w14:paraId="43A8D7B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 w:firstLine="600" w:firstLineChars="200"/>
        <w:jc w:val="both"/>
        <w:rPr>
          <w:rFonts w:hint="default"/>
          <w:spacing w:val="3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2B9B"/>
    <w:rsid w:val="05290F57"/>
    <w:rsid w:val="0958005D"/>
    <w:rsid w:val="0AAF0151"/>
    <w:rsid w:val="0D74745B"/>
    <w:rsid w:val="143F60A1"/>
    <w:rsid w:val="1AE6196C"/>
    <w:rsid w:val="1C962F1E"/>
    <w:rsid w:val="1E0F50DA"/>
    <w:rsid w:val="28832A5E"/>
    <w:rsid w:val="288C7B40"/>
    <w:rsid w:val="2E660D38"/>
    <w:rsid w:val="3BE61375"/>
    <w:rsid w:val="46445CE0"/>
    <w:rsid w:val="50966A6E"/>
    <w:rsid w:val="50B909AE"/>
    <w:rsid w:val="53D562DC"/>
    <w:rsid w:val="54B51D52"/>
    <w:rsid w:val="665705F5"/>
    <w:rsid w:val="6AAE6E83"/>
    <w:rsid w:val="74E474F8"/>
    <w:rsid w:val="759471E8"/>
    <w:rsid w:val="795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1201</Characters>
  <Lines>0</Lines>
  <Paragraphs>0</Paragraphs>
  <TotalTime>4</TotalTime>
  <ScaleCrop>false</ScaleCrop>
  <LinksUpToDate>false</LinksUpToDate>
  <CharactersWithSpaces>1203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2024-12-30T01:08:00Z</dcterms:created>
  <dc:creator>Lenovo</dc:creator>
  <cp:lastModifiedBy>平烈</cp:lastModifiedBy>
  <cp:lastPrinted>2024-12-30T02:03:00Z</cp:lastPrinted>
  <dcterms:modified xsi:type="dcterms:W3CDTF">2025-01-13T07:26:45Z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eyJoZGlkIjoiZGNjNTE3MmVjNDlmMmQ4ZWZhMzRjNGIyNzRhNDlhOGYiLCJ1c2VySWQiOiIzNjc2NTA4ODcifQ==</vt:lpwstr>
  </property>
  <property fmtid="{D5CDD505-2E9C-101B-9397-08002B2CF9AE}" pid="4" name="ICV">
    <vt:lpwstr>267485025A8743CBB1A57E01CE13D992_13</vt:lpwstr>
  </property>
</Properties>
</file>