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BA" w:rsidRDefault="006311A6" w:rsidP="00BF0D51">
      <w:pPr>
        <w:spacing w:line="360" w:lineRule="auto"/>
        <w:ind w:leftChars="270" w:left="1503" w:hangingChars="300" w:hanging="936"/>
        <w:rPr>
          <w:rFonts w:ascii="仿宋_GB2312" w:eastAsia="仿宋_GB2312" w:hAnsi="仿宋_GB2312" w:cs="仿宋_GB2312"/>
          <w:color w:val="auto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color w:val="auto"/>
          <w:spacing w:val="-8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auto"/>
          <w:spacing w:val="-8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灵宝市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年第三批农村公路路网改善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工程车购税补助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资金投资计划表</w:t>
      </w:r>
    </w:p>
    <w:bookmarkEnd w:id="0"/>
    <w:p w:rsidR="00692ABA" w:rsidRDefault="006311A6">
      <w:pPr>
        <w:widowControl w:val="0"/>
        <w:kinsoku/>
        <w:autoSpaceDE/>
        <w:autoSpaceDN/>
        <w:adjustRightInd/>
        <w:snapToGrid/>
        <w:spacing w:line="560" w:lineRule="exact"/>
        <w:ind w:leftChars="302" w:left="1472" w:hangingChars="262" w:hanging="838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    2.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灵宝市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年第二批农村公路危桥改造工程车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购税资金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投资计划表</w:t>
      </w:r>
    </w:p>
    <w:p w:rsidR="00692ABA" w:rsidRDefault="006311A6" w:rsidP="00BF0D51">
      <w:pPr>
        <w:widowControl w:val="0"/>
        <w:kinsoku/>
        <w:autoSpaceDE/>
        <w:autoSpaceDN/>
        <w:adjustRightInd/>
        <w:snapToGrid/>
        <w:spacing w:line="560" w:lineRule="exact"/>
        <w:ind w:leftChars="303" w:left="1494" w:hangingChars="268" w:hanging="858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    3.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灵宝市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年第一批农村公路安防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工程车购税补助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资金投资计划表（县乡道）</w:t>
      </w:r>
    </w:p>
    <w:p w:rsidR="00692ABA" w:rsidRDefault="00692ABA">
      <w:pPr>
        <w:spacing w:line="360" w:lineRule="auto"/>
        <w:rPr>
          <w:rFonts w:ascii="仿宋_GB2312" w:eastAsia="仿宋_GB2312" w:hAnsi="仿宋_GB2312" w:cs="仿宋_GB2312"/>
          <w:color w:val="auto"/>
          <w:spacing w:val="-8"/>
          <w:sz w:val="32"/>
          <w:szCs w:val="32"/>
        </w:rPr>
      </w:pPr>
    </w:p>
    <w:p w:rsidR="00692ABA" w:rsidRDefault="00692ABA" w:rsidP="00BF0D51">
      <w:pPr>
        <w:spacing w:line="360" w:lineRule="auto"/>
        <w:ind w:firstLineChars="200" w:firstLine="624"/>
        <w:rPr>
          <w:rFonts w:ascii="仿宋_GB2312" w:eastAsia="仿宋_GB2312" w:hAnsi="仿宋_GB2312" w:cs="仿宋_GB2312"/>
          <w:color w:val="auto"/>
          <w:spacing w:val="-8"/>
          <w:sz w:val="32"/>
          <w:szCs w:val="32"/>
        </w:rPr>
      </w:pPr>
    </w:p>
    <w:p w:rsidR="00692ABA" w:rsidRDefault="006311A6" w:rsidP="00BF0D51">
      <w:pPr>
        <w:spacing w:line="360" w:lineRule="auto"/>
        <w:ind w:firstLineChars="1900" w:firstLine="5928"/>
        <w:rPr>
          <w:rFonts w:ascii="仿宋_GB2312" w:eastAsia="仿宋_GB2312" w:hAnsi="仿宋_GB2312" w:cs="仿宋_GB2312"/>
          <w:color w:val="auto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pacing w:val="-8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auto"/>
          <w:spacing w:val="-8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auto"/>
          <w:spacing w:val="-8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auto"/>
          <w:spacing w:val="-8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auto"/>
          <w:spacing w:val="-8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auto"/>
          <w:spacing w:val="-8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color w:val="auto"/>
          <w:spacing w:val="-8"/>
          <w:sz w:val="32"/>
          <w:szCs w:val="32"/>
        </w:rPr>
        <w:t>日</w:t>
      </w:r>
    </w:p>
    <w:p w:rsidR="00692ABA" w:rsidRDefault="00692ABA">
      <w:pPr>
        <w:sectPr w:rsidR="00692ABA">
          <w:footerReference w:type="default" r:id="rId7"/>
          <w:pgSz w:w="12090" w:h="16960"/>
          <w:pgMar w:top="1723" w:right="1752" w:bottom="1746" w:left="1746" w:header="0" w:footer="1063" w:gutter="0"/>
          <w:cols w:space="720"/>
        </w:sectPr>
      </w:pPr>
    </w:p>
    <w:tbl>
      <w:tblPr>
        <w:tblW w:w="14507" w:type="dxa"/>
        <w:tblInd w:w="93" w:type="dxa"/>
        <w:tblLook w:val="04A0" w:firstRow="1" w:lastRow="0" w:firstColumn="1" w:lastColumn="0" w:noHBand="0" w:noVBand="1"/>
      </w:tblPr>
      <w:tblGrid>
        <w:gridCol w:w="14507"/>
      </w:tblGrid>
      <w:tr w:rsidR="00692ABA">
        <w:trPr>
          <w:trHeight w:val="6290"/>
        </w:trPr>
        <w:tc>
          <w:tcPr>
            <w:tcW w:w="1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-1462" w:tblpY="669"/>
              <w:tblOverlap w:val="never"/>
              <w:tblW w:w="14291" w:type="dxa"/>
              <w:tblLook w:val="04A0" w:firstRow="1" w:lastRow="0" w:firstColumn="1" w:lastColumn="0" w:noHBand="0" w:noVBand="1"/>
            </w:tblPr>
            <w:tblGrid>
              <w:gridCol w:w="416"/>
              <w:gridCol w:w="801"/>
              <w:gridCol w:w="803"/>
              <w:gridCol w:w="819"/>
              <w:gridCol w:w="427"/>
              <w:gridCol w:w="1062"/>
              <w:gridCol w:w="1216"/>
              <w:gridCol w:w="778"/>
              <w:gridCol w:w="517"/>
              <w:gridCol w:w="720"/>
              <w:gridCol w:w="670"/>
              <w:gridCol w:w="653"/>
              <w:gridCol w:w="653"/>
              <w:gridCol w:w="745"/>
              <w:gridCol w:w="616"/>
              <w:gridCol w:w="616"/>
              <w:gridCol w:w="722"/>
              <w:gridCol w:w="684"/>
              <w:gridCol w:w="722"/>
              <w:gridCol w:w="651"/>
            </w:tblGrid>
            <w:tr w:rsidR="00692ABA">
              <w:trPr>
                <w:trHeight w:val="489"/>
              </w:trPr>
              <w:tc>
                <w:tcPr>
                  <w:tcW w:w="20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  <w:lang w:bidi="ar"/>
                    </w:rPr>
                    <w:lastRenderedPageBreak/>
                    <w:t>附件</w:t>
                  </w:r>
                  <w:r>
                    <w:rPr>
                      <w:rFonts w:eastAsia="宋体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eastAsia="等线"/>
                      <w:sz w:val="22"/>
                      <w:szCs w:val="22"/>
                    </w:rPr>
                  </w:pPr>
                </w:p>
              </w:tc>
            </w:tr>
            <w:tr w:rsidR="00692ABA">
              <w:trPr>
                <w:trHeight w:val="936"/>
              </w:trPr>
              <w:tc>
                <w:tcPr>
                  <w:tcW w:w="14291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方正小标宋简体" w:eastAsia="方正小标宋简体" w:hAnsi="方正小标宋简体" w:cs="方正小标宋简体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bCs/>
                      <w:sz w:val="36"/>
                      <w:szCs w:val="36"/>
                      <w:lang w:bidi="ar"/>
                    </w:rPr>
                    <w:t>灵宝市</w:t>
                  </w:r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bCs/>
                      <w:sz w:val="36"/>
                      <w:szCs w:val="36"/>
                      <w:lang w:bidi="ar"/>
                    </w:rPr>
                    <w:t>20</w:t>
                  </w:r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bCs/>
                      <w:sz w:val="36"/>
                      <w:szCs w:val="36"/>
                      <w:lang w:bidi="ar"/>
                    </w:rPr>
                    <w:t>24</w:t>
                  </w:r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bCs/>
                      <w:sz w:val="36"/>
                      <w:szCs w:val="36"/>
                      <w:lang w:bidi="ar"/>
                    </w:rPr>
                    <w:t>年第三批农村公路路网改善</w:t>
                  </w:r>
                  <w:proofErr w:type="gramStart"/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bCs/>
                      <w:sz w:val="36"/>
                      <w:szCs w:val="36"/>
                      <w:lang w:bidi="ar"/>
                    </w:rPr>
                    <w:t>工程车购税补助</w:t>
                  </w:r>
                  <w:proofErr w:type="gramEnd"/>
                  <w:r>
                    <w:rPr>
                      <w:rFonts w:ascii="方正小标宋简体" w:eastAsia="方正小标宋简体" w:hAnsi="方正小标宋简体" w:cs="方正小标宋简体" w:hint="eastAsia"/>
                      <w:b/>
                      <w:bCs/>
                      <w:sz w:val="36"/>
                      <w:szCs w:val="36"/>
                      <w:lang w:bidi="ar"/>
                    </w:rPr>
                    <w:t>资金投资计划表</w:t>
                  </w:r>
                </w:p>
              </w:tc>
            </w:tr>
            <w:tr w:rsidR="00692ABA">
              <w:trPr>
                <w:trHeight w:val="528"/>
              </w:trPr>
              <w:tc>
                <w:tcPr>
                  <w:tcW w:w="4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序号</w:t>
                  </w:r>
                </w:p>
              </w:tc>
              <w:tc>
                <w:tcPr>
                  <w:tcW w:w="8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省辖市、省直管县（市）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县（市、区）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乡（镇）</w:t>
                  </w:r>
                </w:p>
              </w:tc>
              <w:tc>
                <w:tcPr>
                  <w:tcW w:w="4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建设性质</w:t>
                  </w:r>
                </w:p>
              </w:tc>
              <w:tc>
                <w:tcPr>
                  <w:tcW w:w="10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项目名称</w:t>
                  </w:r>
                </w:p>
              </w:tc>
              <w:tc>
                <w:tcPr>
                  <w:tcW w:w="12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路线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编码</w:t>
                  </w:r>
                </w:p>
              </w:tc>
              <w:tc>
                <w:tcPr>
                  <w:tcW w:w="7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起点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名称</w:t>
                  </w:r>
                </w:p>
              </w:tc>
              <w:tc>
                <w:tcPr>
                  <w:tcW w:w="5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终点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名称</w:t>
                  </w:r>
                </w:p>
              </w:tc>
              <w:tc>
                <w:tcPr>
                  <w:tcW w:w="344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建设规模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开工年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完工年</w:t>
                  </w:r>
                </w:p>
              </w:tc>
              <w:tc>
                <w:tcPr>
                  <w:tcW w:w="7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总投资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sz w:val="18"/>
                      <w:szCs w:val="18"/>
                      <w:lang w:bidi="ar"/>
                    </w:rPr>
                    <w:t>（万元）</w:t>
                  </w:r>
                </w:p>
              </w:tc>
              <w:tc>
                <w:tcPr>
                  <w:tcW w:w="6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车购税</w:t>
                  </w:r>
                  <w:proofErr w:type="gramEnd"/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sz w:val="18"/>
                      <w:szCs w:val="18"/>
                      <w:lang w:bidi="ar"/>
                    </w:rPr>
                    <w:t>（万元）</w:t>
                  </w:r>
                </w:p>
              </w:tc>
              <w:tc>
                <w:tcPr>
                  <w:tcW w:w="7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市县自筹资金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sz w:val="18"/>
                      <w:szCs w:val="18"/>
                      <w:lang w:bidi="ar"/>
                    </w:rPr>
                    <w:t>（万元）</w:t>
                  </w:r>
                </w:p>
              </w:tc>
              <w:tc>
                <w:tcPr>
                  <w:tcW w:w="6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备注</w:t>
                  </w:r>
                </w:p>
              </w:tc>
            </w:tr>
            <w:tr w:rsidR="00692ABA">
              <w:trPr>
                <w:trHeight w:val="820"/>
              </w:trPr>
              <w:tc>
                <w:tcPr>
                  <w:tcW w:w="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5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合计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sz w:val="18"/>
                      <w:szCs w:val="18"/>
                      <w:lang w:bidi="ar"/>
                    </w:rPr>
                    <w:t>（公里）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二级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sz w:val="18"/>
                      <w:szCs w:val="18"/>
                      <w:lang w:bidi="ar"/>
                    </w:rPr>
                    <w:t>（公里）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三级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sz w:val="18"/>
                      <w:szCs w:val="18"/>
                      <w:lang w:bidi="ar"/>
                    </w:rPr>
                    <w:t>（公里）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四级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sz w:val="18"/>
                      <w:szCs w:val="18"/>
                      <w:lang w:bidi="ar"/>
                    </w:rPr>
                    <w:t>（公里）</w:t>
                  </w:r>
                </w:p>
              </w:tc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路面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宽度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sz w:val="18"/>
                      <w:szCs w:val="18"/>
                      <w:lang w:bidi="ar"/>
                    </w:rPr>
                    <w:t>（米）</w:t>
                  </w:r>
                </w:p>
              </w:tc>
              <w:tc>
                <w:tcPr>
                  <w:tcW w:w="6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</w:tr>
            <w:tr w:rsidR="00692ABA">
              <w:trPr>
                <w:trHeight w:val="704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 w:val="20"/>
                      <w:szCs w:val="20"/>
                      <w:lang w:bidi="ar"/>
                    </w:rPr>
                    <w:t>合计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 w:val="20"/>
                      <w:szCs w:val="20"/>
                      <w:lang w:bidi="ar"/>
                    </w:rPr>
                    <w:t xml:space="preserve">12.50 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 w:val="20"/>
                      <w:szCs w:val="20"/>
                      <w:lang w:bidi="ar"/>
                    </w:rPr>
                    <w:t xml:space="preserve">30732 </w:t>
                  </w:r>
                </w:p>
              </w:tc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 w:val="20"/>
                      <w:szCs w:val="20"/>
                      <w:lang w:bidi="ar"/>
                    </w:rPr>
                    <w:t xml:space="preserve">1250 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sz w:val="20"/>
                      <w:szCs w:val="20"/>
                      <w:lang w:bidi="ar"/>
                    </w:rPr>
                    <w:t xml:space="preserve">29482 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92ABA">
              <w:trPr>
                <w:trHeight w:val="1304"/>
              </w:trPr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1</w:t>
                  </w:r>
                </w:p>
              </w:tc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三门峡</w:t>
                  </w:r>
                </w:p>
              </w:tc>
              <w:tc>
                <w:tcPr>
                  <w:tcW w:w="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灵宝市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焦村镇、川口乡</w:t>
                  </w:r>
                </w:p>
              </w:tc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改建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灵宝市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X064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线尹庄至焦村公路改建工程</w:t>
                  </w: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X064411282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尹庄</w:t>
                  </w:r>
                </w:p>
              </w:tc>
              <w:tc>
                <w:tcPr>
                  <w:tcW w:w="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焦村</w:t>
                  </w:r>
                </w:p>
              </w:tc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 xml:space="preserve">12.50 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12.5</w:t>
                  </w: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7.5</w:t>
                  </w:r>
                </w:p>
              </w:tc>
              <w:tc>
                <w:tcPr>
                  <w:tcW w:w="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2024</w:t>
                  </w:r>
                </w:p>
              </w:tc>
              <w:tc>
                <w:tcPr>
                  <w:tcW w:w="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2026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30732</w:t>
                  </w:r>
                </w:p>
              </w:tc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>1250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2ABA" w:rsidRDefault="006311A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  <w:lang w:bidi="ar"/>
                    </w:rPr>
                    <w:t xml:space="preserve">29482 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92ABA" w:rsidRDefault="00692ABA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20"/>
                    </w:rPr>
                  </w:pPr>
                </w:p>
              </w:tc>
            </w:tr>
          </w:tbl>
          <w:p w:rsidR="00692ABA" w:rsidRDefault="00692AB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92ABA" w:rsidRDefault="00692AB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92ABA" w:rsidRDefault="00692AB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692ABA" w:rsidRDefault="00692ABA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692ABA" w:rsidRDefault="00692ABA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692ABA" w:rsidRDefault="00692ABA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692ABA" w:rsidRDefault="00692ABA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692ABA" w:rsidRDefault="00692ABA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692ABA" w:rsidRDefault="00692ABA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692ABA" w:rsidRDefault="00692ABA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692ABA" w:rsidRDefault="00692ABA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692ABA" w:rsidRDefault="00692ABA">
      <w:pPr>
        <w:rPr>
          <w:rFonts w:ascii="宋体" w:eastAsia="宋体" w:hAnsi="宋体" w:cs="宋体"/>
          <w:b/>
          <w:bCs/>
          <w:sz w:val="32"/>
          <w:szCs w:val="32"/>
        </w:rPr>
      </w:pPr>
    </w:p>
    <w:tbl>
      <w:tblPr>
        <w:tblW w:w="14711" w:type="dxa"/>
        <w:tblInd w:w="93" w:type="dxa"/>
        <w:tblLook w:val="04A0" w:firstRow="1" w:lastRow="0" w:firstColumn="1" w:lastColumn="0" w:noHBand="0" w:noVBand="1"/>
      </w:tblPr>
      <w:tblGrid>
        <w:gridCol w:w="418"/>
        <w:gridCol w:w="801"/>
        <w:gridCol w:w="800"/>
        <w:gridCol w:w="810"/>
        <w:gridCol w:w="1216"/>
        <w:gridCol w:w="859"/>
        <w:gridCol w:w="1892"/>
        <w:gridCol w:w="1003"/>
        <w:gridCol w:w="764"/>
        <w:gridCol w:w="813"/>
        <w:gridCol w:w="811"/>
        <w:gridCol w:w="625"/>
        <w:gridCol w:w="625"/>
        <w:gridCol w:w="885"/>
        <w:gridCol w:w="885"/>
        <w:gridCol w:w="886"/>
        <w:gridCol w:w="618"/>
      </w:tblGrid>
      <w:tr w:rsidR="00692ABA">
        <w:trPr>
          <w:trHeight w:val="542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附件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2ABA" w:rsidRDefault="00692ABA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92ABA">
        <w:trPr>
          <w:trHeight w:val="869"/>
        </w:trPr>
        <w:tc>
          <w:tcPr>
            <w:tcW w:w="147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  <w:lang w:bidi="ar"/>
              </w:rPr>
              <w:t>灵宝市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  <w:lang w:bidi="ar"/>
              </w:rPr>
              <w:t>2024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  <w:lang w:bidi="ar"/>
              </w:rPr>
              <w:t>年第二批农村公路危桥改造工程车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  <w:lang w:bidi="ar"/>
              </w:rPr>
              <w:t>购税资金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  <w:lang w:bidi="ar"/>
              </w:rPr>
              <w:t>投资计划表</w:t>
            </w:r>
          </w:p>
        </w:tc>
      </w:tr>
      <w:tr w:rsidR="00692ABA">
        <w:trPr>
          <w:trHeight w:val="599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序号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省辖市、省直管县（市）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县（市、区）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乡（镇）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路线编码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桥梁名称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桥梁编码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（例：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Y005410103L0010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）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桥梁中心桩号（例：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K5+500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）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建设性质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加固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重建）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桥梁全长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（米）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桥梁全宽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（米）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开工年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完工年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总投资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国省补助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资金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市县自筹资金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备注</w:t>
            </w:r>
          </w:p>
        </w:tc>
      </w:tr>
      <w:tr w:rsidR="00692ABA">
        <w:trPr>
          <w:trHeight w:val="962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692ABA">
        <w:trPr>
          <w:trHeight w:val="985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94.84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517.10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230.00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287.10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692ABA">
        <w:trPr>
          <w:trHeight w:val="985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三门峡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灵宝市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阳平镇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Y017411282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灵湖桥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Y017411282L0010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K0+759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重建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45.04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8.5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357.00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134.00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223.00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92ABA">
        <w:trPr>
          <w:trHeight w:val="985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三门峡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灵宝市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故县镇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C906411282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尚家湾桥</w:t>
            </w:r>
            <w:proofErr w:type="gram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C906411282L0010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K2+020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加固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68.60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41.00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27.60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92ABA">
        <w:trPr>
          <w:trHeight w:val="985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三门峡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灵宝市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故县镇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X062411282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金选桥</w:t>
            </w:r>
            <w:proofErr w:type="gram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X062411282L0040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K11+559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加固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21.8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91.50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55.00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36.50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92ABA">
        <w:trPr>
          <w:trHeight w:val="295"/>
        </w:trPr>
        <w:tc>
          <w:tcPr>
            <w:tcW w:w="147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311A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说明：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、路线编码必须按照“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位路线编码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+6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位行政区划编码”标准格式。</w:t>
            </w:r>
          </w:p>
        </w:tc>
      </w:tr>
      <w:tr w:rsidR="00692ABA">
        <w:trPr>
          <w:trHeight w:val="284"/>
        </w:trPr>
        <w:tc>
          <w:tcPr>
            <w:tcW w:w="147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311A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、桥梁编码必须按照“路线编码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+5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位桥梁编码”的年报标准格式。</w:t>
            </w:r>
          </w:p>
        </w:tc>
      </w:tr>
      <w:tr w:rsidR="00692ABA">
        <w:trPr>
          <w:trHeight w:val="284"/>
        </w:trPr>
        <w:tc>
          <w:tcPr>
            <w:tcW w:w="147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311A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、新升级干线公路未移交接养路段项目，路线编码按照干线公路编码填报，并备注原农村公路编码。</w:t>
            </w:r>
          </w:p>
        </w:tc>
      </w:tr>
    </w:tbl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tbl>
      <w:tblPr>
        <w:tblW w:w="14454" w:type="dxa"/>
        <w:tblInd w:w="93" w:type="dxa"/>
        <w:tblLook w:val="04A0" w:firstRow="1" w:lastRow="0" w:firstColumn="1" w:lastColumn="0" w:noHBand="0" w:noVBand="1"/>
      </w:tblPr>
      <w:tblGrid>
        <w:gridCol w:w="440"/>
        <w:gridCol w:w="826"/>
        <w:gridCol w:w="829"/>
        <w:gridCol w:w="827"/>
        <w:gridCol w:w="1489"/>
        <w:gridCol w:w="1401"/>
        <w:gridCol w:w="1036"/>
        <w:gridCol w:w="1078"/>
        <w:gridCol w:w="831"/>
        <w:gridCol w:w="616"/>
        <w:gridCol w:w="616"/>
        <w:gridCol w:w="779"/>
        <w:gridCol w:w="708"/>
        <w:gridCol w:w="768"/>
        <w:gridCol w:w="1428"/>
        <w:gridCol w:w="782"/>
      </w:tblGrid>
      <w:tr w:rsidR="00692ABA">
        <w:trPr>
          <w:trHeight w:val="622"/>
        </w:trPr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附件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等线" w:eastAsia="等线" w:hAnsi="等线" w:cs="等线"/>
                <w:sz w:val="22"/>
                <w:szCs w:val="22"/>
              </w:rPr>
            </w:pPr>
          </w:p>
        </w:tc>
      </w:tr>
      <w:tr w:rsidR="00692ABA">
        <w:trPr>
          <w:trHeight w:val="830"/>
        </w:trPr>
        <w:tc>
          <w:tcPr>
            <w:tcW w:w="144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  <w:lang w:bidi="ar"/>
              </w:rPr>
              <w:t>灵宝市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  <w:lang w:bidi="ar"/>
              </w:rPr>
              <w:t>2024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  <w:lang w:bidi="ar"/>
              </w:rPr>
              <w:t>年第一批农村公路安防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  <w:lang w:bidi="ar"/>
              </w:rPr>
              <w:t>工程车购税补助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  <w:lang w:bidi="ar"/>
              </w:rPr>
              <w:t>资金投资计划表（县乡道）</w:t>
            </w:r>
          </w:p>
        </w:tc>
      </w:tr>
      <w:tr w:rsidR="00692ABA">
        <w:trPr>
          <w:trHeight w:val="642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省辖市、省直管县（市）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县（市、区）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乡（镇）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路线编码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起点桩号（例：</w:t>
            </w:r>
            <w:r>
              <w:rPr>
                <w:rStyle w:val="font91"/>
                <w:rFonts w:eastAsia="宋体"/>
                <w:lang w:bidi="ar"/>
              </w:rPr>
              <w:t>K5+500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）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终点桩号</w:t>
            </w:r>
            <w:r>
              <w:rPr>
                <w:rStyle w:val="font91"/>
                <w:rFonts w:eastAsia="宋体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（例：</w:t>
            </w:r>
            <w:r>
              <w:rPr>
                <w:rStyle w:val="font91"/>
                <w:rFonts w:eastAsia="宋体"/>
                <w:lang w:bidi="ar"/>
              </w:rPr>
              <w:t>K6+500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）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处治隐患里程</w:t>
            </w:r>
            <w:r>
              <w:rPr>
                <w:rFonts w:eastAsia="宋体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（公里）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开工年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完工年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总投资</w:t>
            </w:r>
            <w:r>
              <w:rPr>
                <w:rFonts w:eastAsia="宋体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国省补助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资金</w:t>
            </w:r>
            <w:r>
              <w:rPr>
                <w:rFonts w:eastAsia="宋体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市县自筹资金</w:t>
            </w:r>
            <w:r>
              <w:rPr>
                <w:rFonts w:eastAsia="宋体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主要</w:t>
            </w:r>
            <w:r>
              <w:rPr>
                <w:rFonts w:eastAsia="宋体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建设内容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备注</w:t>
            </w:r>
          </w:p>
        </w:tc>
      </w:tr>
      <w:tr w:rsidR="00692ABA">
        <w:trPr>
          <w:trHeight w:val="6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92ABA">
        <w:trPr>
          <w:trHeight w:val="64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合计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5.405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65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692ABA">
        <w:trPr>
          <w:trHeight w:val="116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三门峡市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灵宝市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</w:rPr>
              <w:t>苏村乡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</w:rPr>
              <w:t>涧胡线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</w:rPr>
              <w:t>X066411282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</w:rPr>
              <w:t>K0+000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</w:rPr>
              <w:t>K31+220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</w:rPr>
              <w:t xml:space="preserve">5.405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</w:rPr>
              <w:t>65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</w:rPr>
              <w:t>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311A6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波形钢护栏、标志牌、标线、附属设施等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ABA" w:rsidRDefault="00692A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92ABA" w:rsidRDefault="00692ABA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</w:p>
    <w:sectPr w:rsidR="00692ABA">
      <w:footerReference w:type="default" r:id="rId8"/>
      <w:pgSz w:w="16800" w:h="11860"/>
      <w:pgMar w:top="1008" w:right="1474" w:bottom="400" w:left="1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A6" w:rsidRDefault="006311A6">
      <w:r>
        <w:separator/>
      </w:r>
    </w:p>
  </w:endnote>
  <w:endnote w:type="continuationSeparator" w:id="0">
    <w:p w:rsidR="006311A6" w:rsidRDefault="0063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ABA" w:rsidRDefault="00692ABA">
    <w:pPr>
      <w:spacing w:line="183" w:lineRule="auto"/>
      <w:jc w:val="right"/>
      <w:rPr>
        <w:rFonts w:ascii="宋体" w:eastAsia="宋体" w:hAnsi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ABA" w:rsidRDefault="00692AB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A6" w:rsidRDefault="006311A6">
      <w:r>
        <w:separator/>
      </w:r>
    </w:p>
  </w:footnote>
  <w:footnote w:type="continuationSeparator" w:id="0">
    <w:p w:rsidR="006311A6" w:rsidRDefault="0063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FhODU1OTc1Y2FiYjY2NWJiZDI3YjI0NWMzNTJlZDgifQ=="/>
  </w:docVars>
  <w:rsids>
    <w:rsidRoot w:val="00692ABA"/>
    <w:rsid w:val="006311A6"/>
    <w:rsid w:val="00692ABA"/>
    <w:rsid w:val="00BF0D51"/>
    <w:rsid w:val="02A65F07"/>
    <w:rsid w:val="02B35B05"/>
    <w:rsid w:val="04074FB1"/>
    <w:rsid w:val="0BDE2A9B"/>
    <w:rsid w:val="0CD30126"/>
    <w:rsid w:val="0D2B7081"/>
    <w:rsid w:val="163360DA"/>
    <w:rsid w:val="16F21AF1"/>
    <w:rsid w:val="1A153190"/>
    <w:rsid w:val="1EA14212"/>
    <w:rsid w:val="236C4F75"/>
    <w:rsid w:val="249858E7"/>
    <w:rsid w:val="252E5D7C"/>
    <w:rsid w:val="2A500BB0"/>
    <w:rsid w:val="2CC94C4A"/>
    <w:rsid w:val="329C7909"/>
    <w:rsid w:val="32B854F7"/>
    <w:rsid w:val="35C067B4"/>
    <w:rsid w:val="3E7A3FF6"/>
    <w:rsid w:val="415154E2"/>
    <w:rsid w:val="415E19AD"/>
    <w:rsid w:val="41E41BAB"/>
    <w:rsid w:val="492B0A39"/>
    <w:rsid w:val="49D46CB0"/>
    <w:rsid w:val="51385D77"/>
    <w:rsid w:val="57863C7C"/>
    <w:rsid w:val="599D3469"/>
    <w:rsid w:val="5A44578C"/>
    <w:rsid w:val="5E7423B8"/>
    <w:rsid w:val="60732275"/>
    <w:rsid w:val="645349E1"/>
    <w:rsid w:val="68487720"/>
    <w:rsid w:val="6A327FE0"/>
    <w:rsid w:val="6D892574"/>
    <w:rsid w:val="702F015F"/>
    <w:rsid w:val="74130A94"/>
    <w:rsid w:val="756C0DDA"/>
    <w:rsid w:val="75D02172"/>
    <w:rsid w:val="764F796D"/>
    <w:rsid w:val="76C80B94"/>
    <w:rsid w:val="7DEA07A0"/>
    <w:rsid w:val="7F213387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32">
    <w:name w:val="font132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121">
    <w:name w:val="font12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Pr>
      <w:rFonts w:ascii="Arial" w:hAnsi="Arial" w:cs="Arial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32">
    <w:name w:val="font132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121">
    <w:name w:val="font12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Pr>
      <w:rFonts w:ascii="Arial" w:hAnsi="Arial" w:cs="Arial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K_Y_</cp:lastModifiedBy>
  <cp:revision>2</cp:revision>
  <cp:lastPrinted>2023-09-19T01:08:00Z</cp:lastPrinted>
  <dcterms:created xsi:type="dcterms:W3CDTF">2024-12-17T08:04:00Z</dcterms:created>
  <dcterms:modified xsi:type="dcterms:W3CDTF">2024-12-17T08:04:00Z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2022-12-05T17:20:46Z</vt:filetime>
  </property>
  <property fmtid="{D5CDD505-2E9C-101B-9397-08002B2CF9AE}" pid="4" name="UsrData">
    <vt:lpwstr>638db7e2c1ea6f0016f07396</vt:lpwstr>
  </property>
  <property fmtid="{D5CDD505-2E9C-101B-9397-08002B2CF9AE}" pid="5" name="KSOProductBuildVer">
    <vt:lpwstr>2052-12.1.0.19302</vt:lpwstr>
  </property>
  <property fmtid="{D5CDD505-2E9C-101B-9397-08002B2CF9AE}" pid="6" name="ICV">
    <vt:lpwstr>CFB5C8630DEF45B98B5BC6340E4EC4FA</vt:lpwstr>
  </property>
</Properties>
</file>