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37EC7">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医疗器械网络销售案信息表</w:t>
      </w:r>
    </w:p>
    <w:p w14:paraId="08E81710">
      <w:pPr>
        <w:pStyle w:val="2"/>
        <w:rPr>
          <w:rFonts w:hint="eastAsia" w:ascii="仿宋_GB2312" w:hAnsi="仿宋_GB2312" w:eastAsia="仿宋_GB2312" w:cs="仿宋_GB2312"/>
          <w:b w:val="0"/>
          <w:bCs w:val="0"/>
          <w:color w:val="000000"/>
          <w:kern w:val="2"/>
          <w:sz w:val="21"/>
          <w:szCs w:val="21"/>
          <w:lang w:val="en-US" w:eastAsia="zh-CN" w:bidi="ar-SA"/>
        </w:rPr>
      </w:pPr>
    </w:p>
    <w:tbl>
      <w:tblPr>
        <w:tblStyle w:val="8"/>
        <w:tblpPr w:leftFromText="180" w:rightFromText="180" w:vertAnchor="page" w:horzAnchor="page" w:tblpX="1248" w:tblpY="2377"/>
        <w:tblOverlap w:val="never"/>
        <w:tblW w:w="967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05" w:type="dxa"/>
          <w:bottom w:w="0" w:type="dxa"/>
          <w:right w:w="105" w:type="dxa"/>
        </w:tblCellMar>
      </w:tblPr>
      <w:tblGrid>
        <w:gridCol w:w="1540"/>
        <w:gridCol w:w="1095"/>
        <w:gridCol w:w="2086"/>
        <w:gridCol w:w="4953"/>
      </w:tblGrid>
      <w:tr w14:paraId="06F24C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540" w:hRule="atLeast"/>
        </w:trPr>
        <w:tc>
          <w:tcPr>
            <w:tcW w:w="1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A010C">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w:t>
            </w:r>
          </w:p>
          <w:p w14:paraId="4091552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网络</w:t>
            </w:r>
          </w:p>
          <w:p w14:paraId="348A908C">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销售类型</w:t>
            </w:r>
          </w:p>
        </w:tc>
        <w:tc>
          <w:tcPr>
            <w:tcW w:w="813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59D3BB3">
            <w:pPr>
              <w:pStyle w:val="7"/>
              <w:keepNext w:val="0"/>
              <w:keepLines w:val="0"/>
              <w:widowControl/>
              <w:suppressLineNumbers w:val="0"/>
              <w:spacing w:before="0" w:beforeAutospacing="0" w:after="0" w:afterAutospacing="0" w:line="315" w:lineRule="atLeast"/>
              <w:ind w:left="0" w:right="0" w:firstLine="105"/>
              <w:jc w:val="center"/>
              <w:rPr>
                <w:rFonts w:hint="default"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kern w:val="2"/>
                <w:sz w:val="21"/>
                <w:szCs w:val="21"/>
                <w:lang w:val="en-US" w:eastAsia="zh-CN" w:bidi="ar-SA"/>
              </w:rPr>
              <w:t>入驻类</w:t>
            </w:r>
          </w:p>
        </w:tc>
      </w:tr>
      <w:tr w14:paraId="763340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435" w:hRule="atLeast"/>
        </w:trPr>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6E1E72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  体</w:t>
            </w:r>
          </w:p>
          <w:p w14:paraId="42C031FF">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信  息</w:t>
            </w:r>
          </w:p>
          <w:p w14:paraId="03D7B83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1227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企业</w:t>
            </w:r>
          </w:p>
          <w:p w14:paraId="1D9B837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名称</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0CDD2EB">
            <w:pPr>
              <w:pStyle w:val="7"/>
              <w:keepNext w:val="0"/>
              <w:keepLines w:val="0"/>
              <w:widowControl/>
              <w:suppressLineNumbers w:val="0"/>
              <w:tabs>
                <w:tab w:val="left" w:pos="2346"/>
              </w:tabs>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河南宜致大药房有限公司</w:t>
            </w:r>
            <w:r>
              <w:rPr>
                <w:rFonts w:hint="eastAsia" w:ascii="仿宋_GB2312" w:hAnsi="仿宋_GB2312" w:eastAsia="仿宋_GB2312" w:cs="仿宋_GB2312"/>
                <w:b w:val="0"/>
                <w:bCs w:val="0"/>
                <w:color w:val="000000"/>
                <w:kern w:val="2"/>
                <w:sz w:val="24"/>
                <w:szCs w:val="24"/>
                <w:lang w:val="en-US" w:eastAsia="zh-CN" w:bidi="ar-SA"/>
              </w:rPr>
              <w:t>灵宝凤凰城</w:t>
            </w:r>
            <w:r>
              <w:rPr>
                <w:rFonts w:hint="default" w:ascii="仿宋_GB2312" w:hAnsi="仿宋_GB2312" w:eastAsia="仿宋_GB2312" w:cs="仿宋_GB2312"/>
                <w:b w:val="0"/>
                <w:bCs w:val="0"/>
                <w:color w:val="000000"/>
                <w:kern w:val="2"/>
                <w:sz w:val="24"/>
                <w:szCs w:val="24"/>
                <w:lang w:val="en-US" w:eastAsia="zh-CN" w:bidi="ar-SA"/>
              </w:rPr>
              <w:t>店</w:t>
            </w:r>
          </w:p>
        </w:tc>
      </w:tr>
      <w:tr w14:paraId="4907AD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37"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D0735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C735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住  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CD66F57">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14:paraId="487202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C88ABB">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6FA3F">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社会信用代码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13005DE">
            <w:pPr>
              <w:pStyle w:val="7"/>
              <w:keepNext w:val="0"/>
              <w:keepLines w:val="0"/>
              <w:widowControl/>
              <w:suppressLineNumbers w:val="0"/>
              <w:tabs>
                <w:tab w:val="left" w:pos="2961"/>
              </w:tabs>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91411282MA9KMBUH1X</w:t>
            </w:r>
          </w:p>
        </w:tc>
      </w:tr>
      <w:tr w14:paraId="6D5C7E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CE692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3F66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经营</w:t>
            </w:r>
          </w:p>
          <w:p w14:paraId="503607D3">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场所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143573C">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河南省三门峡市灵宝市尹庄镇物华北路与好阳西路交叉口东北角凤凰城1栋2单元107号</w:t>
            </w:r>
          </w:p>
        </w:tc>
      </w:tr>
      <w:tr w14:paraId="73A054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C76B5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1D25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库房</w:t>
            </w:r>
          </w:p>
          <w:p w14:paraId="6D2E02A1">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地址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8E60627">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14:paraId="57067F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0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A2C17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1957D">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主体</w:t>
            </w:r>
          </w:p>
          <w:p w14:paraId="7E567731">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业态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B42B470">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零售</w:t>
            </w:r>
          </w:p>
        </w:tc>
      </w:tr>
      <w:tr w14:paraId="2B4AC1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5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025999">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4306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医疗器械经营许可证（备案凭证）编号</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13BBDE7">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豫三食药监械经营许20220028号</w:t>
            </w:r>
          </w:p>
          <w:p w14:paraId="35B0C07B">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豫三食药监械经营备20220001</w:t>
            </w:r>
            <w:bookmarkStart w:id="0" w:name="_GoBack"/>
            <w:bookmarkEnd w:id="0"/>
            <w:r>
              <w:rPr>
                <w:rFonts w:hint="eastAsia" w:ascii="仿宋_GB2312" w:hAnsi="仿宋_GB2312" w:eastAsia="仿宋_GB2312" w:cs="仿宋_GB2312"/>
                <w:b w:val="0"/>
                <w:bCs w:val="0"/>
                <w:color w:val="000000"/>
                <w:kern w:val="2"/>
                <w:sz w:val="24"/>
                <w:szCs w:val="24"/>
                <w:lang w:val="en-US" w:eastAsia="zh-CN" w:bidi="ar-SA"/>
              </w:rPr>
              <w:t>号</w:t>
            </w:r>
          </w:p>
        </w:tc>
      </w:tr>
      <w:tr w14:paraId="75857B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27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FE97C6">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C5FFD">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经营</w:t>
            </w:r>
          </w:p>
          <w:p w14:paraId="3EE4E1CD">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范围</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8791AC6">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原分类目录</w:t>
            </w:r>
            <w:r>
              <w:rPr>
                <w:rFonts w:hint="eastAsia" w:ascii="仿宋_GB2312" w:hAnsi="仿宋_GB2312" w:eastAsia="仿宋_GB2312" w:cs="仿宋_GB2312"/>
                <w:b w:val="0"/>
                <w:bCs w:val="0"/>
                <w:color w:val="000000"/>
                <w:kern w:val="2"/>
                <w:sz w:val="24"/>
                <w:szCs w:val="24"/>
                <w:lang w:val="en-US" w:eastAsia="zh-CN" w:bidi="ar-SA"/>
              </w:rPr>
              <w:t>：第二类：6801，6802，6803，6804，6805，6806，6807，6808，6809，6810，6812，6813，6815，6816，6820，6821，6822，6823，6824，6825，6826，6827，6828，6830，6831，6832，6833，6834，6840临床检验分析仪器及诊断试剂（诊断试剂不需低温冷藏运输贮存），6841，6845，6846，6854，6855，6856，6857，6858，6863，6864，6865，6866，6870；</w:t>
            </w:r>
          </w:p>
          <w:p w14:paraId="283D1B81">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新分类目录：第二类：01，02，03，04，05，06，07，08，09，10，11，12，14，15，16，17，18，19，20，21，22；</w:t>
            </w:r>
          </w:p>
          <w:p w14:paraId="1AF44011">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原分类目录：第三类：6804眼科手术器械，6807胸腔心血管外科手术器械，6815注射穿刺器械， 6821医用电子仪器设备，6822医用光学器具、仪器及内窥镜设备，6823医用超声仪器及有关设备，6824医用激光仪器设备，6825医用高频仪器设备，6826物理治疗及康复设备，6828医用磁共振设备，6830医用X射线设备，6831医用X射线附属设备及部件，6832医用高能射线设备，6833医用核素设备，6834医用射线防护用品、装置，6840临床检验分析仪器及诊断试剂（诊断试剂不需低温冷藏运输贮存），6845体外循环及血液处理设备，6846植入材料和人工器官，6854手术室、急救室、诊疗室设备及器具， 6858医用冷疗、低温、冷藏设备及</w:t>
            </w:r>
          </w:p>
        </w:tc>
      </w:tr>
      <w:tr w14:paraId="7C82E3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3790" w:hRule="exact"/>
        </w:trPr>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3C6D330">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主  体</w:t>
            </w:r>
          </w:p>
          <w:p w14:paraId="5A5E46EB">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信  息</w:t>
            </w:r>
          </w:p>
          <w:p w14:paraId="45DF6C9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45CE0">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eastAsia" w:ascii="Calibri" w:hAnsi="Calibri" w:cs="Calibri"/>
                <w:color w:val="000000"/>
                <w:kern w:val="0"/>
                <w:sz w:val="22"/>
                <w:szCs w:val="22"/>
                <w:lang w:val="en-US" w:eastAsia="zh-CN" w:bidi="ar"/>
              </w:rPr>
              <w:t>经营范围</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DE55B5A">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器具，6863口腔科材料，6864医用卫生材料及敷料，6865医用缝合材料及粘合剂，6866医用高分子材料及制品，6870软件，6877介入器材；</w:t>
            </w:r>
          </w:p>
          <w:p w14:paraId="28DA7D0F">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新分类目录：第三类：01有源手术器械，02无源手术器械，03神经和心血管手术器械，04骨科手术器械，05放射治疗器械，06医用成像器械，07医用诊察和监护器械，08呼吸、麻醉和急救器械，09物理治疗器械，10输血、透析和体外循环器械， 12有源植入器械，13无源植入器械，14注输、护理和防护器械， 16眼科器械，17口腔科器械，18妇产科、辅助生殖和避孕器械， 20中医器械，21医用软件，22临床检验器械。</w:t>
            </w:r>
          </w:p>
        </w:tc>
      </w:tr>
      <w:tr w14:paraId="531C61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426"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077E1C">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53DD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法定代表人</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C0CF1D1">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14:paraId="4102B8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628"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03D82E">
            <w:pPr>
              <w:keepNext w:val="0"/>
              <w:keepLines w:val="0"/>
              <w:pageBreakBefore w:val="0"/>
              <w:shd w:val="clear"/>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68EC2">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4A2A6405">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5084174A">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企业负责人</w:t>
            </w:r>
          </w:p>
          <w:p w14:paraId="323A46C8">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6BF1DEDE">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14:paraId="4A5DA4F7">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AE7DE3">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南晓晓</w:t>
            </w:r>
          </w:p>
        </w:tc>
      </w:tr>
      <w:tr w14:paraId="05DF3E58">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992" w:hRule="atLeast"/>
        </w:trPr>
        <w:tc>
          <w:tcPr>
            <w:tcW w:w="1540" w:type="dxa"/>
            <w:vMerge w:val="restart"/>
            <w:tcBorders>
              <w:top w:val="single" w:color="000000" w:sz="8" w:space="0"/>
              <w:left w:val="single" w:color="000000" w:sz="8" w:space="0"/>
              <w:right w:val="single" w:color="000000" w:sz="8" w:space="0"/>
              <w:tl2br w:val="nil"/>
              <w:tr2bl w:val="nil"/>
            </w:tcBorders>
            <w:shd w:val="clear" w:color="auto" w:fill="auto"/>
            <w:vAlign w:val="center"/>
          </w:tcPr>
          <w:p w14:paraId="2A0289DB">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color w:val="000000"/>
                <w:sz w:val="24"/>
                <w:szCs w:val="24"/>
              </w:rPr>
            </w:pPr>
            <w:r>
              <w:rPr>
                <w:rFonts w:hint="eastAsia" w:ascii="Calibri" w:hAnsi="Calibri" w:cs="Calibri"/>
                <w:color w:val="000000"/>
                <w:sz w:val="22"/>
                <w:szCs w:val="22"/>
              </w:rPr>
              <w:t>医疗器械网络交易服务第三方平台信息（入驻类）</w:t>
            </w: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53DC55C6">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2"/>
                <w:szCs w:val="22"/>
              </w:rPr>
            </w:pPr>
            <w:r>
              <w:rPr>
                <w:rFonts w:hint="eastAsia" w:ascii="Calibri" w:hAnsi="Calibri" w:cs="Calibri"/>
                <w:color w:val="000000"/>
                <w:sz w:val="22"/>
                <w:szCs w:val="22"/>
              </w:rPr>
              <w:t>医疗器械网络交易服务第三方平台名称</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14:paraId="385F1D23">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2"/>
                <w:szCs w:val="22"/>
              </w:rPr>
            </w:pPr>
            <w:r>
              <w:rPr>
                <w:rFonts w:hint="eastAsia" w:ascii="Calibri" w:hAnsi="Calibri" w:cs="Calibri"/>
                <w:color w:val="000000"/>
                <w:sz w:val="22"/>
                <w:szCs w:val="22"/>
              </w:rPr>
              <w:t>医疗器械网络交易服务第三方平台备案凭证编号</w:t>
            </w:r>
          </w:p>
        </w:tc>
      </w:tr>
      <w:tr w14:paraId="3AA85DA1">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1245"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270B046A">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14:paraId="60C5E070">
            <w:pPr>
              <w:keepNext w:val="0"/>
              <w:keepLines w:val="0"/>
              <w:widowControl/>
              <w:suppressLineNumbers w:val="0"/>
              <w:jc w:val="center"/>
              <w:textAlignment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深圳百寿健康信息技术有限公司（美团外卖）</w:t>
            </w:r>
          </w:p>
        </w:tc>
        <w:tc>
          <w:tcPr>
            <w:tcW w:w="4953" w:type="dxa"/>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14:paraId="75BA376C">
            <w:pPr>
              <w:keepNext w:val="0"/>
              <w:keepLines w:val="0"/>
              <w:widowControl/>
              <w:suppressLineNumbers w:val="0"/>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（粤）网械平台备字（2020）第00014号</w:t>
            </w:r>
          </w:p>
        </w:tc>
      </w:tr>
      <w:tr w14:paraId="1B177730">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1018"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0BB403E6">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3E797B0C">
            <w:pPr>
              <w:keepNext w:val="0"/>
              <w:keepLines w:val="0"/>
              <w:widowControl/>
              <w:suppressLineNumbers w:val="0"/>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上海拉扎斯信息科技有限公司（饿了么）</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14:paraId="2FCEA0ED">
            <w:pPr>
              <w:keepNext w:val="0"/>
              <w:keepLines w:val="0"/>
              <w:widowControl/>
              <w:suppressLineNumbers w:val="0"/>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（沪）网械平台备字(2018) 第00004号</w:t>
            </w:r>
          </w:p>
        </w:tc>
      </w:tr>
      <w:tr w14:paraId="7C32F7EB">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1090" w:hRule="atLeast"/>
        </w:trPr>
        <w:tc>
          <w:tcPr>
            <w:tcW w:w="1540" w:type="dxa"/>
            <w:vMerge w:val="continue"/>
            <w:tcBorders>
              <w:left w:val="single" w:color="000000" w:sz="8" w:space="0"/>
              <w:right w:val="single" w:color="000000" w:sz="8" w:space="0"/>
              <w:tl2br w:val="nil"/>
              <w:tr2bl w:val="nil"/>
            </w:tcBorders>
            <w:shd w:val="clear" w:color="auto" w:fill="auto"/>
            <w:vAlign w:val="center"/>
          </w:tcPr>
          <w:p w14:paraId="51329BB3">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000000" w:sz="8" w:space="0"/>
              <w:right w:val="single" w:color="000000" w:sz="8" w:space="0"/>
              <w:tl2br w:val="nil"/>
              <w:tr2bl w:val="nil"/>
            </w:tcBorders>
            <w:shd w:val="clear" w:color="auto" w:fill="auto"/>
            <w:vAlign w:val="center"/>
          </w:tcPr>
          <w:p w14:paraId="7E42562C">
            <w:pPr>
              <w:keepNext w:val="0"/>
              <w:keepLines w:val="0"/>
              <w:widowControl/>
              <w:suppressLineNumbers w:val="0"/>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北京京东叁佰陆拾度电子商务有限公司（京东）</w:t>
            </w:r>
          </w:p>
        </w:tc>
        <w:tc>
          <w:tcPr>
            <w:tcW w:w="4953" w:type="dxa"/>
            <w:tcBorders>
              <w:top w:val="single" w:color="auto" w:sz="4" w:space="0"/>
              <w:left w:val="single" w:color="000000" w:sz="8" w:space="0"/>
              <w:bottom w:val="single" w:color="000000" w:sz="8" w:space="0"/>
              <w:right w:val="single" w:color="000000" w:sz="8" w:space="0"/>
              <w:tl2br w:val="nil"/>
              <w:tr2bl w:val="nil"/>
            </w:tcBorders>
            <w:shd w:val="clear" w:color="auto" w:fill="auto"/>
            <w:vAlign w:val="center"/>
          </w:tcPr>
          <w:p w14:paraId="0D61F4F6">
            <w:pPr>
              <w:keepNext w:val="0"/>
              <w:keepLines w:val="0"/>
              <w:widowControl/>
              <w:suppressLineNumbers w:val="0"/>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（京）网械平台备字（2023）第00013号</w:t>
            </w:r>
          </w:p>
        </w:tc>
      </w:tr>
    </w:tbl>
    <w:p w14:paraId="5F00204B">
      <w:pPr>
        <w:pStyle w:val="2"/>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sz w:val="21"/>
          <w:szCs w:val="21"/>
          <w:lang w:val="en-US" w:eastAsia="zh-CN"/>
        </w:rPr>
      </w:pPr>
    </w:p>
    <w:p w14:paraId="7B9A464E">
      <w:pPr>
        <w:pStyle w:val="2"/>
        <w:ind w:left="0" w:leftChars="0" w:firstLine="0" w:firstLineChars="0"/>
        <w:rPr>
          <w:rFonts w:hint="default" w:ascii="仿宋_GB2312" w:hAnsi="仿宋_GB2312" w:eastAsia="仿宋_GB2312" w:cs="仿宋_GB2312"/>
          <w:b w:val="0"/>
          <w:bCs w:val="0"/>
          <w:sz w:val="30"/>
          <w:szCs w:val="30"/>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altName w:val="微软雅黑"/>
    <w:panose1 w:val="0201060400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63409"/>
    <w:rsid w:val="00F34D73"/>
    <w:rsid w:val="02F21311"/>
    <w:rsid w:val="05CF4F3C"/>
    <w:rsid w:val="05EB1AC2"/>
    <w:rsid w:val="06CF4970"/>
    <w:rsid w:val="07451BD8"/>
    <w:rsid w:val="08C93787"/>
    <w:rsid w:val="09AA5EC7"/>
    <w:rsid w:val="0A21765F"/>
    <w:rsid w:val="0B916F77"/>
    <w:rsid w:val="10E17B93"/>
    <w:rsid w:val="117F40FD"/>
    <w:rsid w:val="12177168"/>
    <w:rsid w:val="13504C11"/>
    <w:rsid w:val="14366510"/>
    <w:rsid w:val="158F7C42"/>
    <w:rsid w:val="17A92098"/>
    <w:rsid w:val="18706C23"/>
    <w:rsid w:val="19487290"/>
    <w:rsid w:val="19FE5ACC"/>
    <w:rsid w:val="1A2F3B4E"/>
    <w:rsid w:val="1D527E8D"/>
    <w:rsid w:val="1E091084"/>
    <w:rsid w:val="1FDED5F1"/>
    <w:rsid w:val="20716C4C"/>
    <w:rsid w:val="227375EE"/>
    <w:rsid w:val="24DE4051"/>
    <w:rsid w:val="25160B94"/>
    <w:rsid w:val="251E7AF0"/>
    <w:rsid w:val="272B0448"/>
    <w:rsid w:val="28024CE3"/>
    <w:rsid w:val="28166710"/>
    <w:rsid w:val="28844E9E"/>
    <w:rsid w:val="2CC70D15"/>
    <w:rsid w:val="2DBB26A4"/>
    <w:rsid w:val="2F7E6B9C"/>
    <w:rsid w:val="31015EBC"/>
    <w:rsid w:val="31134E47"/>
    <w:rsid w:val="32035839"/>
    <w:rsid w:val="321B1ECA"/>
    <w:rsid w:val="333605A9"/>
    <w:rsid w:val="33E6159B"/>
    <w:rsid w:val="33F00EA3"/>
    <w:rsid w:val="348C0254"/>
    <w:rsid w:val="369C6DA9"/>
    <w:rsid w:val="37497D27"/>
    <w:rsid w:val="37953D82"/>
    <w:rsid w:val="3A4426DE"/>
    <w:rsid w:val="3CE460F4"/>
    <w:rsid w:val="3F395866"/>
    <w:rsid w:val="404F2A20"/>
    <w:rsid w:val="42AF22EE"/>
    <w:rsid w:val="42B25790"/>
    <w:rsid w:val="43FF06A1"/>
    <w:rsid w:val="444B1ED6"/>
    <w:rsid w:val="48A352BF"/>
    <w:rsid w:val="49693869"/>
    <w:rsid w:val="4B4771C0"/>
    <w:rsid w:val="4B5468E1"/>
    <w:rsid w:val="4FF9661A"/>
    <w:rsid w:val="53651681"/>
    <w:rsid w:val="53B84782"/>
    <w:rsid w:val="54D651D3"/>
    <w:rsid w:val="557235D3"/>
    <w:rsid w:val="568D4C26"/>
    <w:rsid w:val="580E1B14"/>
    <w:rsid w:val="5ABF18CC"/>
    <w:rsid w:val="5BC665AA"/>
    <w:rsid w:val="5E71292E"/>
    <w:rsid w:val="5EE860AE"/>
    <w:rsid w:val="5EF13EBA"/>
    <w:rsid w:val="5EFF4AE0"/>
    <w:rsid w:val="61094DAE"/>
    <w:rsid w:val="66A56FDD"/>
    <w:rsid w:val="67836DC0"/>
    <w:rsid w:val="69996D05"/>
    <w:rsid w:val="699A6910"/>
    <w:rsid w:val="6A1E1802"/>
    <w:rsid w:val="6CD45760"/>
    <w:rsid w:val="6D142332"/>
    <w:rsid w:val="6E203F44"/>
    <w:rsid w:val="6EC03F4C"/>
    <w:rsid w:val="6FE56136"/>
    <w:rsid w:val="702E0741"/>
    <w:rsid w:val="709DD2DC"/>
    <w:rsid w:val="72186F0C"/>
    <w:rsid w:val="770C4920"/>
    <w:rsid w:val="77DF8127"/>
    <w:rsid w:val="77FB113D"/>
    <w:rsid w:val="7922405E"/>
    <w:rsid w:val="7B6FF176"/>
    <w:rsid w:val="7C924971"/>
    <w:rsid w:val="7D48017D"/>
    <w:rsid w:val="7DFE469D"/>
    <w:rsid w:val="7EA64419"/>
    <w:rsid w:val="7F5F55BD"/>
    <w:rsid w:val="7FE5DD0C"/>
    <w:rsid w:val="7FFF5F15"/>
    <w:rsid w:val="9DBF25AD"/>
    <w:rsid w:val="AA3E552D"/>
    <w:rsid w:val="B9760DE9"/>
    <w:rsid w:val="B97DC601"/>
    <w:rsid w:val="BBBD9241"/>
    <w:rsid w:val="BDDEC2E4"/>
    <w:rsid w:val="D26FC6F6"/>
    <w:rsid w:val="D4C40EFF"/>
    <w:rsid w:val="DFDFDC21"/>
    <w:rsid w:val="EA9D94C8"/>
    <w:rsid w:val="EABA807E"/>
    <w:rsid w:val="EFF44DD7"/>
    <w:rsid w:val="F5BD85BC"/>
    <w:rsid w:val="F73773D1"/>
    <w:rsid w:val="FBFBB799"/>
    <w:rsid w:val="FD7D6993"/>
    <w:rsid w:val="FDDEF406"/>
    <w:rsid w:val="FDDF0647"/>
    <w:rsid w:val="FF3F8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999</Words>
  <Characters>1297</Characters>
  <Lines>0</Lines>
  <Paragraphs>0</Paragraphs>
  <TotalTime>56</TotalTime>
  <ScaleCrop>false</ScaleCrop>
  <LinksUpToDate>false</LinksUpToDate>
  <CharactersWithSpaces>1313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2014-11-06T04:08:00Z</dcterms:created>
  <dc:creator>lenovo097</dc:creator>
  <cp:lastModifiedBy>王婷</cp:lastModifiedBy>
  <cp:lastPrinted>2022-02-16T19:17:00Z</cp:lastPrinted>
  <dcterms:modified xsi:type="dcterms:W3CDTF">2024-12-18T08:40:11Z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ADD47DE5AF5345BB98150A6CABAD11D1</vt:lpwstr>
  </property>
</Properties>
</file>