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kinsoku/>
        <w:wordWrap/>
        <w:overflowPunct/>
        <w:topLinePunct w:val="0"/>
        <w:autoSpaceDE/>
        <w:autoSpaceDN/>
        <w:bidi w:val="0"/>
        <w:adjustRightInd/>
        <w:snapToGrid/>
        <w:spacing w:line="560" w:lineRule="exact"/>
        <w:textAlignment w:val="auto"/>
        <w:rPr>
          <w:sz w:val="32"/>
          <w:szCs w:val="32"/>
        </w:rPr>
      </w:pPr>
      <w:bookmarkStart w:id="0" w:name="_GoBack"/>
      <w:bookmarkEnd w:id="0"/>
      <w:r>
        <w:rPr>
          <w:rFonts w:hint="default" w:ascii="Times New Roman" w:hAnsi="Times New Roman" w:eastAsia="黑体"/>
          <w:spacing w:val="-4"/>
          <w:sz w:val="32"/>
          <w:szCs w:val="32"/>
        </w:rPr>
        <w:t>附件</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p>
    <w:p>
      <w:pPr>
        <w:pStyle w:val="20"/>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4"/>
          <w:sz w:val="44"/>
          <w:szCs w:val="44"/>
        </w:rPr>
        <w:t>《政府工作报告》部分词语解释</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仿宋_GB2312"/>
          <w:spacing w:val="0"/>
          <w:sz w:val="32"/>
          <w:szCs w:val="32"/>
        </w:rPr>
        <w:t>为了便于各位代表、委员更好地理解《政府工作报告》中的一些政策和表述，我们选择部分词语进行了解释，以供参考。</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1.“四上”企业：</w:t>
      </w:r>
      <w:r>
        <w:rPr>
          <w:rFonts w:hint="default" w:ascii="Times New Roman" w:hAnsi="Times New Roman" w:eastAsia="仿宋_GB2312"/>
          <w:spacing w:val="0"/>
          <w:sz w:val="32"/>
          <w:szCs w:val="32"/>
        </w:rPr>
        <w:t>规模以上工业企业、资质等级建筑业企业、限额以上批零住餐企业、国家重点服务业企业。</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2.“三大改造”：</w:t>
      </w:r>
      <w:r>
        <w:rPr>
          <w:rFonts w:hint="default" w:ascii="Times New Roman" w:hAnsi="Times New Roman" w:eastAsia="仿宋_GB2312"/>
          <w:spacing w:val="0"/>
          <w:sz w:val="32"/>
          <w:szCs w:val="32"/>
        </w:rPr>
        <w:t>绿色化改造、技术化改造、智能化改造。</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3.“双创”：</w:t>
      </w:r>
      <w:r>
        <w:rPr>
          <w:rFonts w:hint="default" w:ascii="Times New Roman" w:hAnsi="Times New Roman" w:eastAsia="仿宋_GB2312"/>
          <w:spacing w:val="0"/>
          <w:sz w:val="32"/>
          <w:szCs w:val="32"/>
        </w:rPr>
        <w:t>大众创业、万众创新。</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4.专精特新企业：</w:t>
      </w:r>
      <w:r>
        <w:rPr>
          <w:rFonts w:hint="default" w:ascii="Times New Roman" w:hAnsi="Times New Roman" w:eastAsia="仿宋_GB2312"/>
          <w:spacing w:val="0"/>
          <w:sz w:val="32"/>
          <w:szCs w:val="32"/>
        </w:rPr>
        <w:t>专业化、精细化、特色化、新颖化的中小企业。</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5.“四好农村路”：</w:t>
      </w:r>
      <w:r>
        <w:rPr>
          <w:rFonts w:hint="default" w:ascii="Times New Roman" w:hAnsi="Times New Roman" w:eastAsia="仿宋_GB2312"/>
          <w:spacing w:val="0"/>
          <w:sz w:val="32"/>
          <w:szCs w:val="32"/>
        </w:rPr>
        <w:t>建好、管好、护好、运营好农村公路。</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6.“六乱”“六清”：</w:t>
      </w:r>
      <w:r>
        <w:rPr>
          <w:rFonts w:hint="default" w:ascii="Times New Roman" w:hAnsi="Times New Roman" w:eastAsia="仿宋_GB2312"/>
          <w:spacing w:val="0"/>
          <w:sz w:val="32"/>
          <w:szCs w:val="32"/>
        </w:rPr>
        <w:t>“六乱”即乱堆乱放、乱倒乱扔、乱搭乱建；“六清”即清垃圾、清塘沟、清污水、清违建、清杂物、清残垣断壁。</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7.“四旁”“五有”“五园”：</w:t>
      </w:r>
      <w:r>
        <w:rPr>
          <w:rFonts w:hint="default" w:ascii="Times New Roman" w:hAnsi="Times New Roman" w:eastAsia="仿宋_GB2312"/>
          <w:spacing w:val="0"/>
          <w:sz w:val="32"/>
          <w:szCs w:val="32"/>
        </w:rPr>
        <w:t>“四旁”即宅旁、村旁、路旁、水旁；“五有”即有能代表本村乡土风貌的高大乔木、有独具特色的村口标识、有因地因势打造的微地形、有搭配合理的绿化彩化美化组团、有“亮起来”的照明设施；“五园”即小菜园、小果园、小花园、小游园、小公园。</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8.开发区“三化三制”改革：</w:t>
      </w:r>
      <w:r>
        <w:rPr>
          <w:rFonts w:hint="default" w:ascii="Times New Roman" w:hAnsi="Times New Roman" w:eastAsia="仿宋_GB2312"/>
          <w:spacing w:val="0"/>
          <w:sz w:val="32"/>
          <w:szCs w:val="32"/>
        </w:rPr>
        <w:t>建设专业化、国际化、市场化的管理团队，实行领导班子任期制、员工全员聘任制、工资绩效薪酬制，激发开发区创新创造活力。</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9.“放管服效”：</w:t>
      </w:r>
      <w:r>
        <w:rPr>
          <w:rFonts w:hint="default" w:ascii="Times New Roman" w:hAnsi="Times New Roman" w:eastAsia="仿宋_GB2312"/>
          <w:spacing w:val="0"/>
          <w:sz w:val="32"/>
          <w:szCs w:val="32"/>
        </w:rPr>
        <w:t>简政放权、放管结合、优化服务、提高效能的简称。</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10.“四个专项行动”：</w:t>
      </w:r>
      <w:r>
        <w:rPr>
          <w:rFonts w:hint="default" w:ascii="Times New Roman" w:hAnsi="Times New Roman" w:eastAsia="仿宋_GB2312"/>
          <w:spacing w:val="0"/>
          <w:sz w:val="32"/>
          <w:szCs w:val="32"/>
        </w:rPr>
        <w:t>减存量、控增量、社会面管控、诉源治理。</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11.“五位一体”总体布局：</w:t>
      </w:r>
      <w:r>
        <w:rPr>
          <w:rFonts w:hint="default" w:ascii="Times New Roman" w:hAnsi="Times New Roman" w:eastAsia="仿宋_GB2312"/>
          <w:spacing w:val="0"/>
          <w:sz w:val="32"/>
          <w:szCs w:val="32"/>
        </w:rPr>
        <w:t>经济建设、政治建设、文化建设、社会建设和生态文明建设五位一体，全面推进。</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12.“四个全面”战略布局：</w:t>
      </w:r>
      <w:r>
        <w:rPr>
          <w:rFonts w:hint="default" w:ascii="Times New Roman" w:hAnsi="Times New Roman" w:eastAsia="仿宋_GB2312"/>
          <w:spacing w:val="0"/>
          <w:sz w:val="32"/>
          <w:szCs w:val="32"/>
        </w:rPr>
        <w:t>全面建设社会主义现代化国家、全面深化改革、全面依法治国、全面从严治党。</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13.“十大战略”：</w:t>
      </w:r>
      <w:r>
        <w:rPr>
          <w:rFonts w:hint="default" w:ascii="Times New Roman" w:hAnsi="Times New Roman" w:eastAsia="仿宋_GB2312"/>
          <w:spacing w:val="0"/>
          <w:sz w:val="32"/>
          <w:szCs w:val="32"/>
        </w:rPr>
        <w:t>创新驱动、科教兴省、人才强省战略，优势再造战略，数字化转型战略，换道领跑战略，文旅文创融合战略，以人为核心的新型城镇化战略，乡村振兴战略，绿色低碳转型战略，制度型开放战略，全面深化改革战略。</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14.“四查四补”：</w:t>
      </w:r>
      <w:r>
        <w:rPr>
          <w:rFonts w:hint="default" w:ascii="Times New Roman" w:hAnsi="Times New Roman" w:eastAsia="仿宋_GB2312"/>
          <w:spacing w:val="0"/>
          <w:sz w:val="32"/>
          <w:szCs w:val="32"/>
        </w:rPr>
        <w:t>查损补失、查漏补缺、查短补齐、查弱补强。</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15.“八大工程”：</w:t>
      </w:r>
      <w:r>
        <w:rPr>
          <w:rFonts w:hint="default" w:ascii="Times New Roman" w:hAnsi="Times New Roman" w:eastAsia="仿宋_GB2312"/>
          <w:spacing w:val="0"/>
          <w:sz w:val="32"/>
          <w:szCs w:val="32"/>
        </w:rPr>
        <w:t>农村道路畅通工程、农村供水水质提升工程、乡村清洁能源建设工程、农产品仓储保鲜冷链物流设施建设工程、数字乡村建设工程、村级综合服务设施提升工程、农房质量安全提升工程、农村人居环境整治提升工程。</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16.“十二大景观”：</w:t>
      </w:r>
      <w:r>
        <w:rPr>
          <w:rFonts w:hint="default" w:ascii="Times New Roman" w:hAnsi="Times New Roman" w:eastAsia="仿宋_GB2312"/>
          <w:spacing w:val="0"/>
          <w:sz w:val="32"/>
          <w:szCs w:val="32"/>
        </w:rPr>
        <w:t>东寨黄河观景台、孟村大枣文化园、稠桑湿地公园、陇海铁路遗址、东古驿黄河驿园、鼎湖盛景、农耕研学基地、油菜花海、荷塘月色、盘古驿、枣乡河入黄口、金鸡岭观景台。</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17.“双碳”战略：</w:t>
      </w:r>
      <w:r>
        <w:rPr>
          <w:rFonts w:hint="default" w:ascii="Times New Roman" w:hAnsi="Times New Roman" w:eastAsia="仿宋_GB2312"/>
          <w:spacing w:val="0"/>
          <w:sz w:val="32"/>
          <w:szCs w:val="32"/>
        </w:rPr>
        <w:t>即“碳达峰”“碳中和”战略，“碳达峰”指二氧化碳的排放不再增长，达到峰值之后开始下降；“碳中和”指企业、团体或个人通过植树造林、节能减排等形式，抵消自身产生的二氧化碳排放量，实现二氧化碳“零排放”。</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18.“三变”：</w:t>
      </w:r>
      <w:r>
        <w:rPr>
          <w:rFonts w:hint="default" w:ascii="Times New Roman" w:hAnsi="Times New Roman" w:eastAsia="仿宋_GB2312"/>
          <w:spacing w:val="0"/>
          <w:sz w:val="32"/>
          <w:szCs w:val="32"/>
        </w:rPr>
        <w:t>资源变资产、资金变股金、农民变股东。</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19.“揭榜挂帅”：</w:t>
      </w:r>
      <w:r>
        <w:rPr>
          <w:rFonts w:hint="default" w:ascii="Times New Roman" w:hAnsi="Times New Roman" w:eastAsia="仿宋_GB2312"/>
          <w:spacing w:val="0"/>
          <w:sz w:val="32"/>
          <w:szCs w:val="32"/>
        </w:rPr>
        <w:t>一种以科研成果来兑现的科研经费投入体制，由政府组织面向全社会开放征集科技创新成果的一种非周期性科研资助安排。</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20.RCEP：</w:t>
      </w:r>
      <w:r>
        <w:rPr>
          <w:rFonts w:hint="default" w:ascii="Times New Roman" w:hAnsi="Times New Roman" w:eastAsia="仿宋_GB2312"/>
          <w:spacing w:val="0"/>
          <w:sz w:val="32"/>
          <w:szCs w:val="32"/>
        </w:rPr>
        <w:t>东盟10国和中国、日本、韩国、澳大利亚、新西兰共15个亚太国家签署的《区域全面经济伙伴关系协定》，是当前世界上人口最多、经贸规模最大、最具发展潜力的自由贸易区。</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21.“五大计划”“七大工程”：</w:t>
      </w:r>
      <w:r>
        <w:rPr>
          <w:rFonts w:hint="default" w:ascii="Times New Roman" w:hAnsi="Times New Roman" w:eastAsia="仿宋_GB2312"/>
          <w:spacing w:val="0"/>
          <w:sz w:val="32"/>
          <w:szCs w:val="32"/>
        </w:rPr>
        <w:t>为建设全国青年发展型县域试点，市委制定《灵宝市青年发展型县域试点实施方案》提出“五大计划”即筑梦计划、造梦计划、寻梦计划、护梦计划、圆梦计划；“七大工程”即青基工程、青蓝工程、青邻工程、青缘工程、青翼工程、青农工程、青卓工程，旨在汇聚青年人才、激励青年作为。</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22.“乙类乙管”：</w:t>
      </w:r>
      <w:r>
        <w:rPr>
          <w:rFonts w:hint="default" w:ascii="Times New Roman" w:hAnsi="Times New Roman" w:eastAsia="仿宋_GB2312"/>
          <w:spacing w:val="0"/>
          <w:sz w:val="32"/>
          <w:szCs w:val="32"/>
        </w:rPr>
        <w:t>乙类传染病采取乙级管理措施。在综合评估病毒变异、疫情形势和我国防控工作等基础上，党和国家作出新冠疫情防控策略调整，从2023年1月8日起，对新冠病毒感染实施“乙类乙管”，对新冠病毒感染者不再实行隔离措施，不再判定密切接触者；不再划定高低风险区；不再对入境人员和货物等采取检疫传染病管理措施。乙类乙管绝不是放开不管，重点是强化服务和保障。</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23.“两个确立”：</w:t>
      </w:r>
      <w:r>
        <w:rPr>
          <w:rFonts w:hint="default" w:ascii="Times New Roman" w:hAnsi="Times New Roman" w:eastAsia="仿宋_GB2312"/>
          <w:spacing w:val="0"/>
          <w:sz w:val="32"/>
          <w:szCs w:val="32"/>
        </w:rPr>
        <w:t>确立习近平同志党中央的核心、全党的核心地位，确立习近平新时代中国特色社会主义思想的指导地位。</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24.“四个意识”：</w:t>
      </w:r>
      <w:r>
        <w:rPr>
          <w:rFonts w:hint="default" w:ascii="Times New Roman" w:hAnsi="Times New Roman" w:eastAsia="仿宋_GB2312"/>
          <w:spacing w:val="0"/>
          <w:sz w:val="32"/>
          <w:szCs w:val="32"/>
        </w:rPr>
        <w:t>政治意识、大局意识、核心意识、看齐意识。</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25.“四个自信”：</w:t>
      </w:r>
      <w:r>
        <w:rPr>
          <w:rFonts w:hint="default" w:ascii="Times New Roman" w:hAnsi="Times New Roman" w:eastAsia="仿宋_GB2312"/>
          <w:spacing w:val="0"/>
          <w:sz w:val="32"/>
          <w:szCs w:val="32"/>
        </w:rPr>
        <w:t>中国特色社会主义道路自信、理论自信、制度自信、文化自信。</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26.“两个维护”：</w:t>
      </w:r>
      <w:r>
        <w:rPr>
          <w:rFonts w:hint="default" w:ascii="Times New Roman" w:hAnsi="Times New Roman" w:eastAsia="仿宋_GB2312"/>
          <w:spacing w:val="0"/>
          <w:sz w:val="32"/>
          <w:szCs w:val="32"/>
        </w:rPr>
        <w:t>坚决维护习近平总书记党中央的核心、全党的核心地位，坚决维护党中央权威和集中统一领导。</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27.“四位一体”全社会诚信体系：</w:t>
      </w:r>
      <w:r>
        <w:rPr>
          <w:rFonts w:hint="default" w:ascii="Times New Roman" w:hAnsi="Times New Roman" w:eastAsia="仿宋_GB2312"/>
          <w:spacing w:val="0"/>
          <w:sz w:val="32"/>
          <w:szCs w:val="32"/>
        </w:rPr>
        <w:t>以政务诚信为先导、企业诚信为重点、社会诚信为基础、司法诚信为保障的诚信体系。</w:t>
      </w:r>
    </w:p>
    <w:p>
      <w:pPr>
        <w:pStyle w:val="20"/>
        <w:keepNext w:val="0"/>
        <w:keepLines w:val="0"/>
        <w:pageBreakBefore w:val="0"/>
        <w:widowControl/>
        <w:kinsoku/>
        <w:wordWrap/>
        <w:overflowPunct/>
        <w:topLinePunct w:val="0"/>
        <w:autoSpaceDE/>
        <w:autoSpaceDN/>
        <w:bidi w:val="0"/>
        <w:adjustRightInd/>
        <w:snapToGrid/>
        <w:spacing w:line="560" w:lineRule="exact"/>
        <w:ind w:firstLine="651"/>
        <w:textAlignment w:val="auto"/>
        <w:rPr>
          <w:sz w:val="32"/>
          <w:szCs w:val="32"/>
        </w:rPr>
      </w:pPr>
      <w:r>
        <w:rPr>
          <w:rFonts w:hint="default" w:ascii="Times New Roman" w:hAnsi="Times New Roman" w:eastAsia="方正黑体_GBK"/>
          <w:spacing w:val="0"/>
          <w:sz w:val="32"/>
          <w:szCs w:val="32"/>
        </w:rPr>
        <w:t>28.“三个区分开来”：</w:t>
      </w:r>
      <w:r>
        <w:rPr>
          <w:rFonts w:hint="default" w:ascii="Times New Roman" w:hAnsi="Times New Roman" w:eastAsia="仿宋_GB2312"/>
          <w:spacing w:val="0"/>
          <w:sz w:val="32"/>
          <w:szCs w:val="32"/>
        </w:rPr>
        <w:t>把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w:t>
      </w:r>
    </w:p>
    <w:p>
      <w:pPr>
        <w:pStyle w:val="20"/>
        <w:jc w:val="center"/>
        <w:rPr>
          <w:sz w:val="32"/>
          <w:szCs w:val="32"/>
        </w:rPr>
      </w:pPr>
    </w:p>
    <w:p>
      <w:pPr>
        <w:pStyle w:val="20"/>
        <w:jc w:val="center"/>
        <w:rPr>
          <w:sz w:val="32"/>
          <w:szCs w:val="32"/>
        </w:rPr>
      </w:pPr>
    </w:p>
    <w:sectPr>
      <w:footerReference r:id="rId3" w:type="default"/>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DDFED98-FA05-44CF-AF05-3BF2B12587BB}"/>
  </w:font>
  <w:font w:name="NEU-BZ">
    <w:altName w:val="宋体"/>
    <w:panose1 w:val="02020506000000020003"/>
    <w:charset w:val="86"/>
    <w:family w:val="script"/>
    <w:pitch w:val="default"/>
    <w:sig w:usb0="00000000" w:usb1="00000000" w:usb2="05000016" w:usb3="00000000" w:csb0="003E0001" w:csb1="00000000"/>
    <w:embedRegular r:id="rId2" w:fontKey="{EC37300D-9184-446D-9D17-2EFB6736836E}"/>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3" w:fontKey="{63168ED2-CA21-4252-9424-952B04C7A147}"/>
  </w:font>
  <w:font w:name="楷体_GB2312">
    <w:altName w:val="楷体"/>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82016" w:usb3="00000000" w:csb0="00040001" w:csb1="00000000"/>
    <w:embedRegular r:id="rId4" w:fontKey="{533AC989-4C52-450B-ABD7-6464B3A769EC}"/>
  </w:font>
  <w:font w:name="仿宋_GB2312">
    <w:altName w:val="仿宋"/>
    <w:panose1 w:val="02010609030101010101"/>
    <w:charset w:val="86"/>
    <w:family w:val="modern"/>
    <w:pitch w:val="default"/>
    <w:sig w:usb0="00000000" w:usb1="00000000" w:usb2="00000000" w:usb3="00000000" w:csb0="00040000" w:csb1="00000000"/>
    <w:embedRegular r:id="rId5" w:fontKey="{970882C6-8C78-4524-9785-1582E93EC0C4}"/>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2"/>
      </w:rPr>
      <mc:AlternateContent>
        <mc:Choice Requires="wps">
          <w:drawing>
            <wp:anchor distT="0" distB="0" distL="114300" distR="114300" simplePos="0" relativeHeight="251659264" behindDoc="0" locked="0" layoutInCell="1" allowOverlap="1">
              <wp:simplePos x="0" y="0"/>
              <wp:positionH relativeFrom="margin">
                <wp:posOffset>2454275</wp:posOffset>
              </wp:positionH>
              <wp:positionV relativeFrom="paragraph">
                <wp:posOffset>-161925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3.25pt;margin-top:-12.75pt;height:144pt;width:144pt;mso-position-horizontal-relative:margin;mso-wrap-style:none;z-index:251659264;mso-width-relative:page;mso-height-relative:page;" filled="f" stroked="f" coordsize="21600,21600" o:gfxdata="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5N7jz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Y2ZkNTY5ODA0YTg1ZWI0OTliYjU5OThlYTI5MjAifQ=="/>
  </w:docVars>
  <w:rsids>
    <w:rsidRoot w:val="00FA57C3"/>
    <w:rsid w:val="000120E3"/>
    <w:rsid w:val="00043C97"/>
    <w:rsid w:val="00051636"/>
    <w:rsid w:val="0006373F"/>
    <w:rsid w:val="00075369"/>
    <w:rsid w:val="000B623B"/>
    <w:rsid w:val="000D07D6"/>
    <w:rsid w:val="001302C8"/>
    <w:rsid w:val="0013235C"/>
    <w:rsid w:val="00152ED9"/>
    <w:rsid w:val="001C5ADF"/>
    <w:rsid w:val="002068E6"/>
    <w:rsid w:val="00292EDB"/>
    <w:rsid w:val="00326389"/>
    <w:rsid w:val="00327CDE"/>
    <w:rsid w:val="00391EE7"/>
    <w:rsid w:val="003B1CD3"/>
    <w:rsid w:val="00405CA5"/>
    <w:rsid w:val="00451408"/>
    <w:rsid w:val="00486645"/>
    <w:rsid w:val="0049669A"/>
    <w:rsid w:val="004A2F49"/>
    <w:rsid w:val="004A3019"/>
    <w:rsid w:val="00510EA2"/>
    <w:rsid w:val="005156A7"/>
    <w:rsid w:val="005243A2"/>
    <w:rsid w:val="00535272"/>
    <w:rsid w:val="005518C6"/>
    <w:rsid w:val="005B0CFB"/>
    <w:rsid w:val="005F127C"/>
    <w:rsid w:val="006C537E"/>
    <w:rsid w:val="006E28A5"/>
    <w:rsid w:val="00720332"/>
    <w:rsid w:val="0081363D"/>
    <w:rsid w:val="00843D10"/>
    <w:rsid w:val="008B3DDC"/>
    <w:rsid w:val="009217BC"/>
    <w:rsid w:val="00960619"/>
    <w:rsid w:val="00971BFB"/>
    <w:rsid w:val="009D7281"/>
    <w:rsid w:val="009F4C47"/>
    <w:rsid w:val="00A33F40"/>
    <w:rsid w:val="00AB315B"/>
    <w:rsid w:val="00B308B8"/>
    <w:rsid w:val="00B82B68"/>
    <w:rsid w:val="00BA1E36"/>
    <w:rsid w:val="00BF17CB"/>
    <w:rsid w:val="00C47140"/>
    <w:rsid w:val="00C6302E"/>
    <w:rsid w:val="00C82289"/>
    <w:rsid w:val="00CB1D13"/>
    <w:rsid w:val="00D01BC0"/>
    <w:rsid w:val="00D3685C"/>
    <w:rsid w:val="00D81827"/>
    <w:rsid w:val="00D940E1"/>
    <w:rsid w:val="00E05032"/>
    <w:rsid w:val="00E336E3"/>
    <w:rsid w:val="00E5427A"/>
    <w:rsid w:val="00E629AC"/>
    <w:rsid w:val="00E93DC0"/>
    <w:rsid w:val="00EB4538"/>
    <w:rsid w:val="00F043AD"/>
    <w:rsid w:val="00F2499B"/>
    <w:rsid w:val="00F81A0E"/>
    <w:rsid w:val="00FA57C3"/>
    <w:rsid w:val="00FC4922"/>
    <w:rsid w:val="0A1D27B1"/>
    <w:rsid w:val="0A4B76E1"/>
    <w:rsid w:val="0EEE6E2C"/>
    <w:rsid w:val="142B659F"/>
    <w:rsid w:val="15965726"/>
    <w:rsid w:val="197742E8"/>
    <w:rsid w:val="19942A04"/>
    <w:rsid w:val="1AD57077"/>
    <w:rsid w:val="1C261D7D"/>
    <w:rsid w:val="20CB14F2"/>
    <w:rsid w:val="23BC4235"/>
    <w:rsid w:val="2A743403"/>
    <w:rsid w:val="2D8D5746"/>
    <w:rsid w:val="3BAB2B93"/>
    <w:rsid w:val="4EDE6164"/>
    <w:rsid w:val="51E306AE"/>
    <w:rsid w:val="53D76E1D"/>
    <w:rsid w:val="542249AC"/>
    <w:rsid w:val="5516355B"/>
    <w:rsid w:val="59321DA8"/>
    <w:rsid w:val="66285863"/>
    <w:rsid w:val="6ADA5513"/>
    <w:rsid w:val="72723C53"/>
    <w:rsid w:val="74E07A5A"/>
    <w:rsid w:val="78627BC0"/>
    <w:rsid w:val="7D56258F"/>
    <w:rsid w:val="7D6C3371"/>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NEU-BZ"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Ansi="NEU-BZ" w:asciiTheme="minorHAnsi" w:eastAsiaTheme="minorEastAsia" w:cstheme="minorBidi"/>
      <w:sz w:val="22"/>
      <w:szCs w:val="22"/>
      <w:lang w:val="en-US" w:eastAsia="zh-CN" w:bidi="ar-SA"/>
    </w:rPr>
  </w:style>
  <w:style w:type="character" w:default="1" w:styleId="9">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rFonts w:ascii="Tahoma" w:hAnsi="Tahoma" w:cs="Tahoma"/>
      <w:sz w:val="16"/>
      <w:szCs w:val="16"/>
    </w:rPr>
  </w:style>
  <w:style w:type="paragraph" w:styleId="3">
    <w:name w:val="footer"/>
    <w:basedOn w:val="1"/>
    <w:link w:val="12"/>
    <w:unhideWhenUsed/>
    <w:qFormat/>
    <w:uiPriority w:val="99"/>
    <w:pPr>
      <w:tabs>
        <w:tab w:val="center" w:pos="4513"/>
        <w:tab w:val="right" w:pos="9026"/>
      </w:tabs>
    </w:pPr>
  </w:style>
  <w:style w:type="paragraph" w:styleId="4">
    <w:name w:val="header"/>
    <w:basedOn w:val="1"/>
    <w:link w:val="11"/>
    <w:unhideWhenUsed/>
    <w:qFormat/>
    <w:uiPriority w:val="99"/>
    <w:pPr>
      <w:tabs>
        <w:tab w:val="center" w:pos="4513"/>
        <w:tab w:val="right" w:pos="9026"/>
      </w:tabs>
    </w:pPr>
  </w:style>
  <w:style w:type="paragraph" w:styleId="5">
    <w:name w:val="footnote text"/>
    <w:basedOn w:val="1"/>
    <w:link w:val="19"/>
    <w:semiHidden/>
    <w:unhideWhenUsed/>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8">
    <w:name w:val="Light Shading Accent 3"/>
    <w:basedOn w:val="6"/>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10">
    <w:name w:val="footnote reference"/>
    <w:basedOn w:val="9"/>
    <w:semiHidden/>
    <w:unhideWhenUsed/>
    <w:qFormat/>
    <w:uiPriority w:val="99"/>
    <w:rPr>
      <w:vertAlign w:val="superscript"/>
    </w:rPr>
  </w:style>
  <w:style w:type="character" w:customStyle="1" w:styleId="11">
    <w:name w:val="页眉 Char"/>
    <w:basedOn w:val="9"/>
    <w:link w:val="4"/>
    <w:qFormat/>
    <w:uiPriority w:val="99"/>
  </w:style>
  <w:style w:type="character" w:customStyle="1" w:styleId="12">
    <w:name w:val="页脚 Char"/>
    <w:basedOn w:val="9"/>
    <w:link w:val="3"/>
    <w:qFormat/>
    <w:uiPriority w:val="99"/>
  </w:style>
  <w:style w:type="paragraph" w:styleId="13">
    <w:name w:val="List Paragraph"/>
    <w:basedOn w:val="1"/>
    <w:qFormat/>
    <w:uiPriority w:val="34"/>
    <w:pPr>
      <w:ind w:left="720"/>
      <w:contextualSpacing/>
    </w:pPr>
  </w:style>
  <w:style w:type="character" w:customStyle="1" w:styleId="14">
    <w:name w:val="批注框文本 Char"/>
    <w:basedOn w:val="9"/>
    <w:link w:val="2"/>
    <w:semiHidden/>
    <w:qFormat/>
    <w:uiPriority w:val="99"/>
    <w:rPr>
      <w:rFonts w:ascii="Tahoma" w:hAnsi="Tahoma" w:cs="Tahoma"/>
      <w:sz w:val="16"/>
      <w:szCs w:val="16"/>
    </w:rPr>
  </w:style>
  <w:style w:type="paragraph" w:styleId="15">
    <w:name w:val="Quote"/>
    <w:basedOn w:val="1"/>
    <w:next w:val="1"/>
    <w:link w:val="16"/>
    <w:qFormat/>
    <w:uiPriority w:val="29"/>
    <w:rPr>
      <w:i/>
      <w:iCs/>
      <w:color w:val="000000" w:themeColor="text1"/>
      <w14:textFill>
        <w14:solidFill>
          <w14:schemeClr w14:val="tx1"/>
        </w14:solidFill>
      </w14:textFill>
    </w:rPr>
  </w:style>
  <w:style w:type="character" w:customStyle="1" w:styleId="16">
    <w:name w:val="引用 Char"/>
    <w:basedOn w:val="9"/>
    <w:link w:val="15"/>
    <w:qFormat/>
    <w:uiPriority w:val="29"/>
    <w:rPr>
      <w:i/>
      <w:iCs/>
      <w:color w:val="000000" w:themeColor="text1"/>
      <w14:textFill>
        <w14:solidFill>
          <w14:schemeClr w14:val="tx1"/>
        </w14:solidFill>
      </w14:textFill>
    </w:rPr>
  </w:style>
  <w:style w:type="paragraph" w:customStyle="1" w:styleId="17">
    <w:name w:val="MTDisplayEquation"/>
    <w:basedOn w:val="1"/>
    <w:next w:val="1"/>
    <w:link w:val="18"/>
    <w:qFormat/>
    <w:uiPriority w:val="0"/>
    <w:pPr>
      <w:tabs>
        <w:tab w:val="center" w:pos="4160"/>
        <w:tab w:val="right" w:pos="8300"/>
      </w:tabs>
    </w:pPr>
  </w:style>
  <w:style w:type="character" w:customStyle="1" w:styleId="18">
    <w:name w:val="MTDisplayEquation Char"/>
    <w:basedOn w:val="9"/>
    <w:link w:val="17"/>
    <w:qFormat/>
    <w:uiPriority w:val="0"/>
  </w:style>
  <w:style w:type="character" w:customStyle="1" w:styleId="19">
    <w:name w:val="脚注文本 Char"/>
    <w:basedOn w:val="9"/>
    <w:link w:val="5"/>
    <w:semiHidden/>
    <w:qFormat/>
    <w:uiPriority w:val="99"/>
    <w:rPr>
      <w:sz w:val="18"/>
      <w:szCs w:val="18"/>
    </w:rPr>
  </w:style>
  <w:style w:type="paragraph" w:customStyle="1" w:styleId="20">
    <w:name w:val="[系统文字]"/>
    <w:qFormat/>
    <w:uiPriority w:val="0"/>
    <w:pPr>
      <w:spacing w:before="0" w:after="0"/>
      <w:ind w:left="0" w:right="0"/>
      <w:jc w:val="both"/>
    </w:pPr>
    <w:rPr>
      <w:rFonts w:hAnsi="NEU-BZ" w:asci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dp:LabelRoot xmlns:dp="http://www.founder.com/2010/digitalPublish/labelTree" tagType="contentCtrl">
</dp:LabelRoot>
</file>

<file path=customXml/item4.xml><?xml version="1.0" encoding="utf-8"?>
<cxp:PackageInfo xmlns:cxp="http://www.founder.com/2010/customXmlParts">
  <LabelTrees>
    <LabelTree customXmlPartId="{4B3307D3-B2C9-4FF8-8CBB-8B9570B3AA04}"/>
  </LabelTrees>
</cxp:PackageInf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88689-C533-4448-945B-12F4B397B557}">
  <ds:schemaRefs/>
</ds:datastoreItem>
</file>

<file path=customXml/itemProps3.xml><?xml version="1.0" encoding="utf-8"?>
<ds:datastoreItem xmlns:ds="http://schemas.openxmlformats.org/officeDocument/2006/customXml" ds:itemID="{4B3307D3-B2C9-4FF8-8CBB-8B9570B3AA04}">
  <ds:schemaRefs/>
</ds:datastoreItem>
</file>

<file path=customXml/itemProps4.xml><?xml version="1.0" encoding="utf-8"?>
<ds:datastoreItem xmlns:ds="http://schemas.openxmlformats.org/officeDocument/2006/customXml" ds:itemID="{A6139CF6-5931-4AE5-A712-2A5998365C5A}">
  <ds:schemaRefs/>
</ds:datastoreItem>
</file>

<file path=docProps/app.xml><?xml version="1.0" encoding="utf-8"?>
<Properties xmlns="http://schemas.openxmlformats.org/officeDocument/2006/extended-properties" xmlns:vt="http://schemas.openxmlformats.org/officeDocument/2006/docPropsVTypes">
  <Template>Normal.dotm</Template>
  <Company>Intergen Ltd</Company>
  <Pages>26</Pages>
  <Words>14263</Words>
  <Characters>14783</Characters>
  <Lines>1</Lines>
  <Paragraphs>1</Paragraphs>
  <TotalTime>15</TotalTime>
  <ScaleCrop>false</ScaleCrop>
  <LinksUpToDate>false</LinksUpToDate>
  <CharactersWithSpaces>14787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2009-03-05T00:31:00Z</dcterms:created>
  <dc:creator>Administrator</dc:creator>
  <cp:lastModifiedBy>monicawang</cp:lastModifiedBy>
  <dcterms:modified xsi:type="dcterms:W3CDTF">2023-03-28T01:17:09Z</dcterms:modified>
  <dc:title>Medical NOte</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2336C9586476416FB2E071E4B472F86A</vt:lpwstr>
  </property>
</Properties>
</file>